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C59" w:rsidRDefault="004D0E21">
      <w:pPr>
        <w:pStyle w:val="afc"/>
        <w:jc w:val="right"/>
        <w:rPr>
          <w:rFonts w:ascii="Times New Roman" w:hAnsi="Times New Roman"/>
          <w:sz w:val="28"/>
          <w:szCs w:val="28"/>
        </w:rPr>
      </w:pPr>
      <w:r>
        <w:rPr>
          <w:rFonts w:ascii="Times New Roman" w:hAnsi="Times New Roman"/>
          <w:sz w:val="28"/>
          <w:szCs w:val="28"/>
        </w:rPr>
        <w:t>ПРОЕКТ</w:t>
      </w:r>
    </w:p>
    <w:p w:rsidR="009D5C59" w:rsidRDefault="009D5C59">
      <w:pPr>
        <w:pStyle w:val="afc"/>
        <w:jc w:val="right"/>
        <w:rPr>
          <w:rFonts w:ascii="Times New Roman" w:hAnsi="Times New Roman"/>
          <w:sz w:val="28"/>
          <w:szCs w:val="28"/>
        </w:rPr>
      </w:pPr>
    </w:p>
    <w:p w:rsidR="009D5C59" w:rsidRDefault="00525A97">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9D5C59" w:rsidRDefault="00525A97">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9D5C59" w:rsidRDefault="009D5C59">
      <w:pPr>
        <w:pStyle w:val="afc"/>
        <w:jc w:val="center"/>
        <w:rPr>
          <w:rFonts w:ascii="Times New Roman" w:hAnsi="Times New Roman" w:cs="Times New Roman"/>
          <w:sz w:val="28"/>
          <w:szCs w:val="28"/>
        </w:rPr>
      </w:pP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9D5C59" w:rsidRDefault="009D5C59">
      <w:pPr>
        <w:pStyle w:val="afc"/>
        <w:jc w:val="center"/>
        <w:rPr>
          <w:rFonts w:ascii="Times New Roman" w:hAnsi="Times New Roman" w:cs="Times New Roman"/>
          <w:sz w:val="28"/>
          <w:szCs w:val="28"/>
        </w:rPr>
      </w:pP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9D5C59" w:rsidRDefault="009D5C59">
      <w:pPr>
        <w:pStyle w:val="afc"/>
        <w:jc w:val="center"/>
        <w:rPr>
          <w:rFonts w:ascii="Times New Roman" w:hAnsi="Times New Roman" w:cs="Times New Roman"/>
          <w:sz w:val="28"/>
          <w:szCs w:val="28"/>
        </w:rPr>
      </w:pPr>
    </w:p>
    <w:p w:rsidR="009D5C59" w:rsidRDefault="004D0E21" w:rsidP="004D0E21">
      <w:pPr>
        <w:pStyle w:val="afc"/>
        <w:rPr>
          <w:rFonts w:ascii="Times New Roman" w:hAnsi="Times New Roman" w:cs="Times New Roman"/>
          <w:sz w:val="28"/>
          <w:szCs w:val="28"/>
        </w:rPr>
      </w:pPr>
      <w:r>
        <w:rPr>
          <w:rFonts w:ascii="Times New Roman" w:hAnsi="Times New Roman" w:cs="Times New Roman"/>
          <w:sz w:val="28"/>
          <w:szCs w:val="28"/>
        </w:rPr>
        <w:t>…….</w:t>
      </w:r>
      <w:r w:rsidR="00525A97">
        <w:rPr>
          <w:rFonts w:ascii="Times New Roman" w:hAnsi="Times New Roman" w:cs="Times New Roman"/>
          <w:sz w:val="28"/>
          <w:szCs w:val="28"/>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8"/>
          <w:szCs w:val="28"/>
        </w:rPr>
        <w:t xml:space="preserve"> </w:t>
      </w:r>
      <w:r>
        <w:rPr>
          <w:rFonts w:ascii="Times New Roman" w:hAnsi="Times New Roman" w:cs="Times New Roman"/>
          <w:sz w:val="28"/>
          <w:szCs w:val="28"/>
        </w:rPr>
        <w:t xml:space="preserve">                </w:t>
      </w:r>
      <w:r w:rsidR="00525A97">
        <w:rPr>
          <w:rFonts w:ascii="Times New Roman" w:hAnsi="Times New Roman" w:cs="Times New Roman"/>
          <w:sz w:val="28"/>
          <w:szCs w:val="28"/>
        </w:rPr>
        <w:t xml:space="preserve"> № </w:t>
      </w:r>
      <w:r>
        <w:rPr>
          <w:rFonts w:ascii="Times New Roman" w:hAnsi="Times New Roman" w:cs="Times New Roman"/>
          <w:sz w:val="28"/>
          <w:szCs w:val="28"/>
        </w:rPr>
        <w:t>……</w:t>
      </w:r>
    </w:p>
    <w:p w:rsidR="009D5C59" w:rsidRDefault="009D5C59">
      <w:pPr>
        <w:pStyle w:val="afc"/>
        <w:jc w:val="center"/>
        <w:rPr>
          <w:rFonts w:ascii="Times New Roman" w:hAnsi="Times New Roman" w:cs="Times New Roman"/>
          <w:sz w:val="28"/>
          <w:szCs w:val="28"/>
        </w:rPr>
      </w:pP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9D5C59" w:rsidRDefault="009D5C59">
      <w:pPr>
        <w:pStyle w:val="afc"/>
        <w:rPr>
          <w:rFonts w:ascii="Times New Roman" w:hAnsi="Times New Roman" w:cs="Times New Roman"/>
          <w:sz w:val="28"/>
          <w:szCs w:val="28"/>
        </w:rPr>
      </w:pPr>
    </w:p>
    <w:p w:rsidR="009D5C59" w:rsidRDefault="00525A97">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w:t>
      </w:r>
      <w:r w:rsidR="00262E32">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10.03.2016 № 53 «Об утверждении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w:t>
      </w:r>
      <w:proofErr w:type="gramEnd"/>
      <w:r>
        <w:rPr>
          <w:rFonts w:ascii="Times New Roman" w:hAnsi="Times New Roman" w:cs="Times New Roman"/>
          <w:sz w:val="28"/>
          <w:szCs w:val="28"/>
        </w:rPr>
        <w:t xml:space="preserve"> одной категории в другую в пределах своей компетенции»</w:t>
      </w:r>
    </w:p>
    <w:p w:rsidR="009D5C59" w:rsidRDefault="00525A9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Земельным </w:t>
      </w:r>
      <w:hyperlink r:id="rId7" w:tooltip="https://pravo-search.minjust.ru/bigs/showDocument.html?id=370BA400-14C4-4CDB-8A8B-B11F2A1A2F55"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Федеральными законами от 21.12.2004 </w:t>
      </w:r>
      <w:hyperlink r:id="rId8" w:tooltip="https://pravo-search.minjust.ru/bigs/showDocument.html?id=D0A5F721-EFE1-45E7-B29A-83B806984C5B" w:history="1">
        <w:r>
          <w:rPr>
            <w:rFonts w:ascii="Times New Roman" w:hAnsi="Times New Roman" w:cs="Times New Roman"/>
            <w:sz w:val="28"/>
            <w:szCs w:val="28"/>
          </w:rPr>
          <w:t xml:space="preserve">№ 172-ФЗ </w:t>
        </w:r>
      </w:hyperlink>
      <w:r>
        <w:rPr>
          <w:rFonts w:ascii="Times New Roman" w:hAnsi="Times New Roman" w:cs="Times New Roman"/>
          <w:sz w:val="28"/>
          <w:szCs w:val="28"/>
        </w:rPr>
        <w:t xml:space="preserve">«О переводе земель или земельных участков из одной категории в другую», от 21.07.1997 </w:t>
      </w:r>
      <w:r>
        <w:rPr>
          <w:rFonts w:ascii="Times New Roman" w:hAnsi="Times New Roman" w:cs="Times New Roman"/>
          <w:sz w:val="28"/>
          <w:szCs w:val="28"/>
        </w:rPr>
        <w:br/>
      </w:r>
      <w:hyperlink r:id="rId9"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xml:space="preserve"> «О государственной регистрации прав на недвижимое имущество и сделок с ним», от 06.10.2003 </w:t>
      </w:r>
      <w:hyperlink r:id="rId10"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11" w:tooltip="https://pravo-search.minjust.ru/bigs/showDocument.html?id=BBA0BFB1-06C7-4E50-A8D3-FE1045784BF1" w:history="1">
        <w:r>
          <w:rPr>
            <w:rFonts w:ascii="Times New Roman" w:hAnsi="Times New Roman" w:cs="Times New Roman"/>
            <w:sz w:val="28"/>
            <w:szCs w:val="28"/>
          </w:rPr>
          <w:br/>
          <w:t xml:space="preserve">№ 210-ФЗ </w:t>
        </w:r>
      </w:hyperlink>
      <w:r>
        <w:rPr>
          <w:rFonts w:ascii="Times New Roman" w:hAnsi="Times New Roman" w:cs="Times New Roman"/>
          <w:sz w:val="28"/>
          <w:szCs w:val="28"/>
        </w:rPr>
        <w:t>«Об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9D5C59" w:rsidRDefault="00525A97">
      <w:pPr>
        <w:pStyle w:val="afc"/>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12"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w:t>
      </w:r>
      <w:r w:rsidR="00262E32">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10.03.2016 № 53 «Об утверждении административного регламента предоставления муниципальной услуги «Прием и рассмотрение </w:t>
      </w:r>
      <w:r>
        <w:rPr>
          <w:rFonts w:ascii="Times New Roman" w:hAnsi="Times New Roman" w:cs="Times New Roman"/>
          <w:sz w:val="28"/>
          <w:szCs w:val="28"/>
        </w:rPr>
        <w:lastRenderedPageBreak/>
        <w:t>ходатайства о переводе земель или земельных участков в составе</w:t>
      </w:r>
      <w:proofErr w:type="gramEnd"/>
      <w:r>
        <w:rPr>
          <w:rFonts w:ascii="Times New Roman" w:hAnsi="Times New Roman" w:cs="Times New Roman"/>
          <w:sz w:val="28"/>
          <w:szCs w:val="28"/>
        </w:rPr>
        <w:t xml:space="preserve"> земель из одной категории в другую в пределах своей компетенции».</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4D0E21">
        <w:rPr>
          <w:rFonts w:ascii="Times New Roman" w:hAnsi="Times New Roman" w:cs="Times New Roman"/>
          <w:sz w:val="28"/>
          <w:szCs w:val="28"/>
        </w:rPr>
        <w:t xml:space="preserve">        </w:t>
      </w:r>
      <w:r w:rsidR="004D0E21">
        <w:rPr>
          <w:rFonts w:ascii="Times New Roman" w:hAnsi="Times New Roman" w:cs="Times New Roman"/>
          <w:sz w:val="28"/>
          <w:szCs w:val="28"/>
        </w:rPr>
        <w:tab/>
      </w:r>
      <w:r w:rsidR="004D0E21">
        <w:rPr>
          <w:rFonts w:ascii="Times New Roman" w:hAnsi="Times New Roman" w:cs="Times New Roman"/>
          <w:sz w:val="28"/>
          <w:szCs w:val="28"/>
        </w:rPr>
        <w:tab/>
      </w:r>
      <w:r w:rsidR="004D0E21">
        <w:rPr>
          <w:rFonts w:ascii="Times New Roman" w:hAnsi="Times New Roman" w:cs="Times New Roman"/>
          <w:sz w:val="28"/>
          <w:szCs w:val="28"/>
        </w:rPr>
        <w:tab/>
        <w:t xml:space="preserve">                </w:t>
      </w:r>
      <w:r>
        <w:rPr>
          <w:rFonts w:ascii="Times New Roman" w:hAnsi="Times New Roman" w:cs="Times New Roman"/>
          <w:sz w:val="28"/>
          <w:szCs w:val="28"/>
        </w:rPr>
        <w:t>Л.С. Телегина</w:t>
      </w:r>
    </w:p>
    <w:p w:rsidR="009D5C59" w:rsidRDefault="00525A97">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9D5C59" w:rsidRDefault="00525A97">
      <w:pPr>
        <w:shd w:val="nil"/>
        <w:rPr>
          <w:rFonts w:ascii="Times New Roman" w:hAnsi="Times New Roman" w:cs="Times New Roman"/>
          <w:sz w:val="28"/>
          <w:szCs w:val="28"/>
        </w:rPr>
      </w:pPr>
      <w:r>
        <w:rPr>
          <w:rFonts w:ascii="Times New Roman" w:hAnsi="Times New Roman" w:cs="Times New Roman"/>
          <w:sz w:val="28"/>
          <w:szCs w:val="28"/>
        </w:rPr>
        <w:br w:type="page" w:clear="all"/>
      </w:r>
    </w:p>
    <w:p w:rsidR="009D5C59" w:rsidRDefault="00525A97">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9D5C59" w:rsidRDefault="00525A97">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9D5C59" w:rsidRDefault="00525A97">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9D5C59" w:rsidRDefault="004D0E21">
      <w:pPr>
        <w:pStyle w:val="afc"/>
        <w:jc w:val="right"/>
        <w:rPr>
          <w:rFonts w:ascii="Times New Roman" w:hAnsi="Times New Roman" w:cs="Times New Roman"/>
          <w:sz w:val="28"/>
          <w:szCs w:val="28"/>
        </w:rPr>
      </w:pPr>
      <w:r>
        <w:rPr>
          <w:rFonts w:ascii="Times New Roman" w:hAnsi="Times New Roman" w:cs="Times New Roman"/>
          <w:sz w:val="28"/>
          <w:szCs w:val="28"/>
        </w:rPr>
        <w:t>…..</w:t>
      </w:r>
      <w:r w:rsidR="00525A97">
        <w:rPr>
          <w:rFonts w:ascii="Times New Roman" w:hAnsi="Times New Roman" w:cs="Times New Roman"/>
          <w:sz w:val="28"/>
          <w:szCs w:val="28"/>
        </w:rPr>
        <w:t xml:space="preserve"> №  </w:t>
      </w:r>
      <w:r>
        <w:rPr>
          <w:rFonts w:ascii="Times New Roman" w:hAnsi="Times New Roman" w:cs="Times New Roman"/>
          <w:sz w:val="28"/>
          <w:szCs w:val="28"/>
        </w:rPr>
        <w:t>….</w:t>
      </w:r>
    </w:p>
    <w:p w:rsidR="009D5C59" w:rsidRDefault="009D5C59">
      <w:pPr>
        <w:pStyle w:val="afc"/>
        <w:jc w:val="right"/>
        <w:rPr>
          <w:rFonts w:ascii="Times New Roman" w:hAnsi="Times New Roman" w:cs="Times New Roman"/>
          <w:bCs/>
          <w:sz w:val="28"/>
          <w:szCs w:val="28"/>
        </w:rPr>
      </w:pP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9D5C59" w:rsidRDefault="00525A9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(далее – Регламент) являются административные процедуры, обеспечивающие предоставление муниципальной услуги по вопросу перевода земель или земельных участков в составе земель из одной категории в другую (далее – муниципальная услуга), эффективность работы структурных подразделений</w:t>
      </w:r>
      <w:proofErr w:type="gramEnd"/>
      <w:r>
        <w:rPr>
          <w:rFonts w:ascii="Times New Roman" w:hAnsi="Times New Roman" w:cs="Times New Roman"/>
          <w:sz w:val="28"/>
          <w:szCs w:val="28"/>
        </w:rPr>
        <w:t xml:space="preserve"> администрации  Бирофельдского сельского поселения Биробиджанского муниципального района ЕАО (далее – администрация) и его должностных лиц в рамках межведомственного взаимодействия, реализацию прав граждан.</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Заявителями могут быть: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юридические лица, индивидуальные предприниматели и иные граждане, заинтересованные в предоставлении муниципальной услуги (далее – заявители).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при взаимодействии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органами местного самоуправления (далее – представители).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 нахождения  Еврейской автономной области, Биробиджанский район, с. Бирофельд, ул. </w:t>
      </w:r>
      <w:proofErr w:type="gramStart"/>
      <w:r>
        <w:rPr>
          <w:rFonts w:ascii="Times New Roman" w:hAnsi="Times New Roman" w:cs="Times New Roman"/>
          <w:sz w:val="28"/>
          <w:szCs w:val="28"/>
        </w:rPr>
        <w:t>Центральная</w:t>
      </w:r>
      <w:proofErr w:type="gramEnd"/>
      <w:r>
        <w:rPr>
          <w:rFonts w:ascii="Times New Roman" w:hAnsi="Times New Roman" w:cs="Times New Roman"/>
          <w:sz w:val="28"/>
          <w:szCs w:val="28"/>
        </w:rPr>
        <w:t>, д.45.</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proofErr w:type="gramStart"/>
      <w:r>
        <w:rPr>
          <w:rFonts w:ascii="Times New Roman" w:hAnsi="Times New Roman" w:cs="Times New Roman"/>
          <w:sz w:val="28"/>
          <w:szCs w:val="28"/>
        </w:rPr>
        <w:t>Почтовый адрес: 679520, Еврейская автономная  область, Биробиджанский  район, с.  Бирофельд, ул. Центральная, д.45.</w:t>
      </w:r>
      <w:proofErr w:type="gramEnd"/>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1.5. телефон приемной (42622) 78-266;  факс: (42622) 78-411.</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1.6.Адрес электронной почты: </w:t>
      </w:r>
      <w:hyperlink r:id="rId13" w:tooltip="http://www.adbirofeld@mail.ru/" w:history="1">
        <w:r>
          <w:rPr>
            <w:rFonts w:ascii="Times New Roman" w:hAnsi="Times New Roman" w:cs="Times New Roman"/>
            <w:sz w:val="28"/>
            <w:szCs w:val="28"/>
          </w:rPr>
          <w:t>www.adbirofeld@mail.ru</w:t>
        </w:r>
      </w:hyperlink>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r>
        <w:rPr>
          <w:rFonts w:ascii="Times New Roman" w:hAnsi="Times New Roman" w:cs="Times New Roman"/>
          <w:sz w:val="28"/>
          <w:szCs w:val="28"/>
        </w:rPr>
        <w:t>График работы</w:t>
      </w:r>
      <w:r w:rsidR="004D0E21">
        <w:rPr>
          <w:rFonts w:ascii="Times New Roman" w:hAnsi="Times New Roman" w:cs="Times New Roman"/>
          <w:sz w:val="28"/>
          <w:szCs w:val="28"/>
        </w:rPr>
        <w:t>:</w:t>
      </w:r>
    </w:p>
    <w:tbl>
      <w:tblPr>
        <w:tblStyle w:val="a3"/>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91"/>
        <w:gridCol w:w="4800"/>
      </w:tblGrid>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Понедельник</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8.00 -12.00, перерыв 12.00 -13.00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Вторник</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8.00 -12.00, перерыв 12.00 -13.00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Среда</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8.00 -12.00, перерыв 12.00 -13.00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Четверг</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13.00 -16.00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Пятница</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приемный день</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Суббота</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Выходной</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Воскресенье</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Выходной</w:t>
            </w:r>
          </w:p>
        </w:tc>
      </w:tr>
    </w:tbl>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в информационно-телекоммуникационной сети Интернет (далее – сеть  Интернет) – www.pgu.eao.ru.</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w:t>
      </w:r>
      <w:hyperlink r:id="rId14" w:tooltip="http://www.adbirofeld@mail.ru/" w:history="1">
        <w:r>
          <w:rPr>
            <w:rFonts w:ascii="Times New Roman" w:hAnsi="Times New Roman" w:cs="Times New Roman"/>
            <w:sz w:val="28"/>
            <w:szCs w:val="28"/>
          </w:rPr>
          <w:t>www.adbirofeld@mail.ru</w:t>
        </w:r>
      </w:hyperlink>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личному обращению заявителя в отдел;</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 заявителя, направляемым в отдел посредством почтовой или электронной связи.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(консультирование) по вопросам предоставления муниципальной услуги проводится по следующим вопросам: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содержание и ход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 муниципальной услуги, комплектность (достаточность) представленных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время приема и выдачи документов специалистами, ответственными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срок принятия решения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 Оформление устного либо письменного обращения заявителя по вопросам предоставления муниципальной услуги, а также сведений о ходе предоставления муниципальной услуги посредством почтовой или электронной связи, а также оформление и направление ответа на данное обращение осуществляется в соответствии с Федеральным законом от 02.05.2006 </w:t>
      </w:r>
      <w:hyperlink r:id="rId15"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рассмотрении обращений граждан Российской Федерации».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по вопросам предоставления муниципальной услуги готовится специалистами, ответственными за предоставление </w:t>
      </w:r>
      <w:r>
        <w:rPr>
          <w:rFonts w:ascii="Times New Roman" w:hAnsi="Times New Roman" w:cs="Times New Roman"/>
          <w:sz w:val="28"/>
          <w:szCs w:val="28"/>
        </w:rPr>
        <w:lastRenderedPageBreak/>
        <w:t>муниципальной услуги на бумажном носителе и в электронном виде и размещается на информационных стендах, на портале, в средствах массовой информации и в информационных материалах.</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Размещаемая информация содержит в том числе: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извлечения из нормативных правовых актов, устанавливающих порядок и условия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 с приложениями;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блок-схему последовательности действий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необходимый для предоставления муниципальной услуги, и требования, предъявляемые к этим документам;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информирования о ходе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Основными требованиями к информированию граждан являются: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достоверность представляемой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четкость изложения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полнота информирования;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наглядность форм предоставляемой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оперативность предоставления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местного самоуправления, предоставляющего муниципальную услугу - Администрация Бирофельдского сельского поселения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Федеральной службы государственной регистрации, кадастра и картографии по Еврейской автономной области;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Федеральной налоговой службы по Еврейской автономной области;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природных ресурсов правительства Еврейской автономной области;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соответствии с пунктом 3 части 1 статьи 7 Федерального закона от 27.07.2010 года </w:t>
      </w:r>
      <w:hyperlink r:id="rId16"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xml:space="preserve"> «Об организации предоставления государственных </w:t>
      </w:r>
      <w:r>
        <w:rPr>
          <w:rFonts w:ascii="Times New Roman" w:hAnsi="Times New Roman" w:cs="Times New Roman"/>
          <w:sz w:val="28"/>
          <w:szCs w:val="28"/>
        </w:rPr>
        <w:lastRenderedPageBreak/>
        <w:t>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w:t>
      </w:r>
      <w:proofErr w:type="gramEnd"/>
      <w:r>
        <w:rPr>
          <w:rFonts w:ascii="Times New Roman" w:hAnsi="Times New Roman" w:cs="Times New Roman"/>
          <w:sz w:val="28"/>
          <w:szCs w:val="28"/>
        </w:rPr>
        <w:t xml:space="preserve"> для предоставления муниципальной услуг, </w:t>
      </w:r>
      <w:proofErr w:type="gramStart"/>
      <w:r>
        <w:rPr>
          <w:rFonts w:ascii="Times New Roman" w:hAnsi="Times New Roman" w:cs="Times New Roman"/>
          <w:sz w:val="28"/>
          <w:szCs w:val="28"/>
        </w:rPr>
        <w:t>утвержденный</w:t>
      </w:r>
      <w:proofErr w:type="gramEnd"/>
      <w:r>
        <w:rPr>
          <w:rFonts w:ascii="Times New Roman" w:hAnsi="Times New Roman" w:cs="Times New Roman"/>
          <w:sz w:val="28"/>
          <w:szCs w:val="28"/>
        </w:rPr>
        <w:t xml:space="preserve"> нормативным правовым актом администрации сельского поселения.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Результатами предоставления муниципальной услуги является: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выдача акта о переводе земель или земельных участков в составе таких земель из одной категории в другую (далее – акт о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выдача акта об отказе в переводе земель или земельных участков в составе таких земель из одной категории в другую (далее - отказ в переводе).</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составляет не более 60 календарных дней, исчисляемых со дня регистрации заявления с документами, необходимыми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выдачи (направления) документов, являющихся результатом предоставления муниципальной услуги, составляет 3 (три) календарных дня.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9D5C59" w:rsidRDefault="009D5C59">
      <w:pPr>
        <w:pStyle w:val="afc"/>
        <w:rPr>
          <w:rFonts w:ascii="Times New Roman" w:hAnsi="Times New Roman" w:cs="Times New Roman"/>
          <w:color w:val="000000" w:themeColor="text1"/>
          <w:sz w:val="24"/>
          <w:szCs w:val="24"/>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заявитель представляет лично или направляет посредством портала, почтовой (электронной) связи ходатайство о переводе земель или земельных участков в составе земель из одной категории в другую (далее - ходатайство) по форме согласно Приложению № 1 к Регламенту;</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ходатайству прилагаются следующие документы: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копии документов, удостоверяющих личность заявителя, - для физического лица;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документ, подтверждающий соответствующие полномочия представителя заявителя (в случае, если с ходатайством обращается представитель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 согласие правообладателя земельного участка на перевод данного земельного участка в другую категорию, за исключением случая, если правообладателем земельного участка является лицо, с которым заключено </w:t>
      </w:r>
      <w:r>
        <w:rPr>
          <w:rFonts w:ascii="Times New Roman" w:hAnsi="Times New Roman" w:cs="Times New Roman"/>
          <w:sz w:val="28"/>
          <w:szCs w:val="28"/>
        </w:rPr>
        <w:lastRenderedPageBreak/>
        <w:t>соглашение об установлении сервитута в отношении такого земельного участка.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Ходатайство и прилагаемые к нему документы могут быть направлены в администрацию муниципального района в электронной форме посредством портала. Прилагаемые к ходатайству документы в электронной форме должны быть заверены заявителем в установленном законодательством порядке.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личном обращении в администрацию муниципального района за предоставлением муниципальной услуги заявитель предъявляет документ, удостоверяющий его личность, представитель заявителя предъявляет документ, удостоверяющий его личность, и документ, подтверждающий его полномочия действовать от имени заявителя при обращении за предоставлением муниципальной услуги.</w:t>
      </w:r>
      <w:proofErr w:type="gramEnd"/>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документов, необходимых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и которые заявитель вправе представить по собственной инициативе: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удостоверяющих личность заявителя (для заявителей - физических лиц);</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государственной экологической экспертизы в случае, если ее проведение предусмотрено федеральными законами;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заявителем документов, указанных в настоящем пункте, не является основанием для отказа заявителю в предоставлении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Указание на запрет требовать от заявителя представления документов и информации или осуществления действий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в процессе предоставления муниципальной услуги не вправе требовать от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предоставлением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представление документов и информации, которые в соответствии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 нормативными правовыми актами Российской Федерации, нормативными правовыми актами Правительства Еврейской автономной области и муниципальными правовыми актами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w:t>
      </w:r>
      <w:hyperlink r:id="rId1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w:t>
      </w:r>
      <w:hyperlink r:id="rId1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чем в письменном виде за подписью руководителя органа, предоставляющего государственную услугу, или органа, </w:t>
      </w:r>
      <w:r>
        <w:rPr>
          <w:rFonts w:ascii="Times New Roman" w:hAnsi="Times New Roman" w:cs="Times New Roman"/>
          <w:sz w:val="28"/>
          <w:szCs w:val="28"/>
        </w:rPr>
        <w:lastRenderedPageBreak/>
        <w:t>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w:t>
      </w:r>
      <w:hyperlink r:id="rId19"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уведомляется заявитель, а также приносятся извинения за доставленные неудобства.</w:t>
      </w:r>
      <w:proofErr w:type="gramEnd"/>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с ходатайством обратилось ненадлежащее лицо;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 ходатайству приложены документы, состав, форма или содержание которых не соответствуют требованиям земельного законодательства.</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Оснований для приостановления предоставления муниципальной услуги не предусмотрено.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предоставлении муниципальной услуги может быть отказано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несогласие правообладателя.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устранения оснований для отказа в предоставлении муниципальной услуги в случаях, предусмотренных пунктом 2.10 Регламента, заявитель вправе обратиться повторно за получением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Услуги, являющиеся необходимыми и обязательными для предоставления муниципальной услуги, отсутствуют;</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 предоставление муниципальной услуги государственная пошлина не взимается.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ожидания заявителями в очереди при подаче ходатайства о предоставлении муниципальной услуги и при получении результата предоставления муниципальной услуги не должно превышать 15 минут.</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Срок и порядок регистрации запроса заявителя о предоставлении муниципальной услуги и, в том числе в электронной форме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Ходатайство заявителя о предоставлении муниципальной услуги, в том числе в электронной форме, регистрируется непосредственно в день их поступления.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входе</w:t>
      </w:r>
      <w:proofErr w:type="gramEnd"/>
      <w:r>
        <w:rPr>
          <w:rFonts w:ascii="Times New Roman" w:hAnsi="Times New Roman" w:cs="Times New Roman"/>
          <w:sz w:val="28"/>
          <w:szCs w:val="28"/>
        </w:rPr>
        <w:t xml:space="preserve"> в помещение, в котором предоставляется муниципальная  услуга, устанавливается вывеска, содержащая полное наименование отдела. График работы отдела размещается на первом этаже здания, в котором располагается отдел.</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оснащаются стульями, имеют искусственное освещение.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для приема заявителей оснащаются стульями, столами, имеют нормативное искусственное освещение. Кроме того, данные места обеспечиваются писчей бумагой и ручками для возможности оформления заявления о предоставлении информации об объекте недвижимого имущества.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по вопросам предоставления муниципальной услуги и о ходе ее предоставления осуществляется в кабинете специалистов, ответственных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стенде, в коридоре возле кабинета отдела, размещается информация  с указанием фамилии, имени, отчества специалистов, ответственных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информационном стенде  размещается следующая информация: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нормативных правовых актов, регулирующих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2.15.1.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0"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ред. от </w:t>
      </w:r>
      <w:hyperlink r:id="rId21" w:tooltip="https://pravo-search.minjust.ru/bigs/showDocument.html?id=630511CB-1E01-4290-9D0D-1865F65685F5" w:history="1">
        <w:r>
          <w:rPr>
            <w:rFonts w:ascii="Times New Roman" w:hAnsi="Times New Roman" w:cs="Times New Roman"/>
            <w:sz w:val="28"/>
            <w:szCs w:val="28"/>
          </w:rPr>
          <w:t>01.07.2016 № 146</w:t>
        </w:r>
      </w:hyperlink>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текст в </w:t>
      </w:r>
      <w:hyperlink r:id="rId22" w:tooltip="https://pravo-search.minjust.ru/content/edition/d280b148-dd96-4baa-923b-00fc0aa2b30b.doc" w:history="1">
        <w:r>
          <w:rPr>
            <w:rFonts w:ascii="Times New Roman" w:hAnsi="Times New Roman" w:cs="Times New Roman"/>
            <w:sz w:val="28"/>
            <w:szCs w:val="28"/>
          </w:rPr>
          <w:t>предыдущей редакции</w:t>
        </w:r>
      </w:hyperlink>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Показатели доступности и качества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Показателями доступности муниципальной услуги являются: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размещение в сети Интернет, средствах массовой информации, на информационном стенде отдела сведений о месте нахождения, графике работы, справочных телефонах отдела, должностных лицах отдела, ответственных за предоставление муниципальной услуги, последовательности и сроках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ресурсное обеспечение исполнения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получение муниципальной услуги посредством электронной или почтовой связи, а также при личном посещении отдела по выбору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Показателями качества муниципальной  услуги являются: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услугой;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установленных Регламентом;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заявителями информации о порядке предоставления муниципальной  услуги и ходе рассмотрения обращения;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минимизация количества взаимодействий заявителя с должностными лицами отдела при предоставлении муниципальной услуги и их продолжительности;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обоснованность отказов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(бездействия) должностных лиц отдела, а также принимаемые решения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порталов государственных и муниципальных услуг субъектов Российской Федерации (далее - порталы услуг), а также официальных сайтов органов государственной власти и органов местного самоуправления (далее - официальные сайты) заявителю обеспечивается:</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получение информации о порядке и сроках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запись на прием в орган (организацию), многофункциональный центр предоставления государственных и муниципальных услуг (далее - многофункциональный центр) для подачи запроса о предоставлении услуги (далее - запрос);</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формирование запроса;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г) прием и регистрация органом (организацией) запроса и иных документов, необходимых для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получение результата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получение сведений о ходе выполнения запроса;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осуществление оценки качества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w:t>
      </w:r>
    </w:p>
    <w:p w:rsidR="009D5C59" w:rsidRDefault="009D5C5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Административные процедуры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включает в себя следующие административные процедуры: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проведение экспертизы документов, подготовка ответа заявителю;</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направление межведомственных запросов в соответствующие организации, в случае, если определенные документы не были представлены заявителем самостоятельно;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принятие решения о предоставлении муниципальной услуги или отказе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выдача заявителю результата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предоставления муниципальной услуги служит поступившее ходатайство и прилагаемые к нему документы, необходимые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Блок-схема предоставления муниципальной услуги приведена в Приложении № 2 к Регламенту.</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административной процедуры является обращение заявителя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заявителя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может осуществляться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очной и заочной форме путем подачи заявления и иных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Очная форма подачи документов – подача заявления и иных документов при личном приеме в порядке общей очереди в приемные часы. При очной форме подачи документов заявитель подает заявление и документы, указанные в пункте 2.7 Регламента, в бумажном виде, то есть документы установленной формы, сформированные на бумажном носителе.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Заочная форма подачи документов – направление заявления о предоставлении муниципальной услуги и иных документов по почте, через  порталы государственных и муниципальных услуг (функций).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заочной форме подачи документов заявитель может направить заявление (документы), указанное в пункте 2.7 Регламента, в бумажном виде, в виде копий документов на бумажном носителе, электронном виде (то есть посредством отправки интерактивной формы заявления на предоставление муниципальной услуги, подписанного соответствующим типом электронной подписи, с приложением электронных образцов необходимых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Направление заявления (документов) в бумажном виде осуществляется по почте (могут быть направлены заказным письмом с уведомлением о вручении).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документов по почте днем регистрации заявления является день получения письма администрацией муниципального района.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и документов, указанных в пункте 2.6 настоящего Регламента, через организацию почтовой связи удостоверение верности копий документов осуществляется в порядке, установленном федеральным законодательством.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Направление заявления (документов), указанных пункте 2.7 Регламента, в электронном виде и (или) копий этих документов осуществляется посредством отправления интерактивной формы заявления на предоставление муниципальной услуги, подписанного соответствующим типом электронной подписи, с приложением электронных образцов необходимых документов через личный кабинет порталов государственных и муниципальных услуг (функций).</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документов через порталы государственных и муниципальных услуг (функций) днем получения заявления является день регистрации заявления на порталах государственных и муниципальных услуг (функций).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просьбе обратившегося лица заявление может быть оформлено специалистом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прием документов, осуществляет следующие действия в ходе приема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устанавливает предмет обращения, проверяет документ, удостоверяющий личность;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проверяет полномочия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проверяет наличие всех документов, необходимых для предоставления муниципальной услуги, которые заявитель обязан представить самостоятельно в соответствии с пунктом 2.7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4) проверяет соответствие представленных документов требованиям, удостоверяясь, что: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тексты документов написаны разборчиво, наименования юридических лиц - без сокращения, с указанием их мест нахождения;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фамилии, имена и отчества физических лиц, контактные телефоны, адреса их мест жительства написаны полностью;</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в документах нет подчисток, приписок, зачеркнутых слов и иных неоговоренных исправлений;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документы не исполнены карандашом;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документы не имеют серьезных повреждений, наличие которых не позволяет однозначно истолковать их содержание;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принимает решение о приеме у заявителя представленных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отсутствии</w:t>
      </w:r>
      <w:proofErr w:type="gramEnd"/>
      <w:r>
        <w:rPr>
          <w:rFonts w:ascii="Times New Roman" w:hAnsi="Times New Roman" w:cs="Times New Roman"/>
          <w:sz w:val="28"/>
          <w:szCs w:val="28"/>
        </w:rPr>
        <w:t xml:space="preserve"> у заявителя заполненного заявления или неправильном его заполнении специалист помогает заявителю заполнить заявление.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заявитель обратился заочно, специалист администрации, ответственный за прием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регистрирует его под индивидуальным порядковым номером в день поступления документов в информационную систему;</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проверяет правильность оформления заявления и правильность оформления иных документов, поступивших от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проверяет представленные документы на предмет комплектности;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итогам исполнения административной процедуры по приему документов в администрации специалист ответственный за прием документов, формирует документы (дело) и передает его специалисту, ответственному за принятие решения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административной процедуры составляет 1 календарный день с момента обращения заявителя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и регистрация заявления (документов) и передача заявления (документов) специалисту, ответственному за принятие решений;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 прием и регистрация документов, представленных заявителем в Органе, и передача зарегистрированных документов специалисту Органа, ответственному за межведомственное взаимодействие (в случае, если </w:t>
      </w:r>
      <w:r>
        <w:rPr>
          <w:rFonts w:ascii="Times New Roman" w:hAnsi="Times New Roman" w:cs="Times New Roman"/>
          <w:sz w:val="28"/>
          <w:szCs w:val="28"/>
        </w:rPr>
        <w:lastRenderedPageBreak/>
        <w:t>заявитель самостоятельно не представил документы, указанные в пункте 2.8 Регламента).</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Направление межведомственных запросов в соответствующие организации,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соответствующие организации,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межведомственного запроса осуществляется в случае непредставления заявителем документов, необходимых для предоставления муниципальной услуги, предусмотренных п. 2.7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отсутствии</w:t>
      </w:r>
      <w:proofErr w:type="gramEnd"/>
      <w:r>
        <w:rPr>
          <w:rFonts w:ascii="Times New Roman" w:hAnsi="Times New Roman" w:cs="Times New Roman"/>
          <w:sz w:val="28"/>
          <w:szCs w:val="28"/>
        </w:rPr>
        <w:t xml:space="preserve">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w:t>
      </w:r>
      <w:hyperlink r:id="rId23" w:tooltip="https://pravo-search.minjust.ru/bigs/showDocument.html?id=BBA0BFB1-06C7-4E50-A8D3-FE1045784BF1" w:history="1">
        <w:r>
          <w:rPr>
            <w:rFonts w:ascii="Times New Roman" w:hAnsi="Times New Roman" w:cs="Times New Roman"/>
            <w:sz w:val="28"/>
            <w:szCs w:val="28"/>
          </w:rPr>
          <w:t>№210-ФЗ</w:t>
        </w:r>
      </w:hyperlink>
      <w:r>
        <w:rPr>
          <w:rFonts w:ascii="Times New Roman" w:hAnsi="Times New Roman" w:cs="Times New Roman"/>
          <w:sz w:val="28"/>
          <w:szCs w:val="28"/>
        </w:rPr>
        <w:t> «Об организации предоставления государственных и муниципальных услуг».</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для выполнения административных действий, предусмотренных настоящим подразделом, не должен превышать пять рабочих дней </w:t>
      </w:r>
      <w:proofErr w:type="gramStart"/>
      <w:r>
        <w:rPr>
          <w:rFonts w:ascii="Times New Roman" w:hAnsi="Times New Roman" w:cs="Times New Roman"/>
          <w:sz w:val="28"/>
          <w:szCs w:val="28"/>
        </w:rPr>
        <w:t>с даты поступления</w:t>
      </w:r>
      <w:proofErr w:type="gramEnd"/>
      <w:r>
        <w:rPr>
          <w:rFonts w:ascii="Times New Roman" w:hAnsi="Times New Roman" w:cs="Times New Roman"/>
          <w:sz w:val="28"/>
          <w:szCs w:val="28"/>
        </w:rPr>
        <w:t xml:space="preserve"> заявления и документов, необходимых для предоставления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Принятие решения о предоставлении муниципальной услуги или отказе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административной процедуры является передача специалисту, ответственному за подготовки решения о предоставлении муниципальной услуги, документов, необходимых для принятия решения.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Специалист, ответственный за подготовку решения о предоставлении муниципальной услуги, осуществляет проверку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 (соответствие заявителя критериям, необходимым для предоставления муниципальной услуги, а также на наличие оснований для отказа в предоставлении муниципальной услуги, предусмотренных пунктом 2.10 Регламента).</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Специалист ответственный за подготовку решения о предоставлении муниципальной услуги, по результатам проверки принимает одно из следующих решений: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акт о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отказ в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Осуществляет оформление акта о переводе либо отказ в переводе и передает его на подпись главе муниципального района.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подписывает акт о переводе (отказ в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выдает результат предоставления муниципальной услуги заявителю.</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принятия акта о переводе, в течение пяти календарных дней со дня принятия такого акта Специалист  направляет копию принятого акта в орган кадастрового учета (Федеральную службу государственной регистрации, кадастра и картографии или подведомственное ей государственное учреждение).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Перевод земель или земельных участков в составе таких земель из одной категории в другую считается состоявшимся с даты осуществления государственного кадастрового учета земельных участков в связи с изменением их категории.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оформление акта о переводе или отказ в переводе и направление принятого решения заявителю.</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Выдача заявителю результата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 акт о переводе или отказ в переводе (далее - документ, являющийся результатом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изъявил желание получить результат муниципальной услуги в администрации сельского поселения при поступлении документа, являющегося результатом предоставления муниципальной услуги, Специалист, информирует заявителя о получении документа, являющийся результатом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Выдачу документа, являющегося результатом предоставления муниципальной услуги, осуществляет Специалист  при личном приеме, под роспись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выдача заявителю акта о переводе или отказ в переводе.</w:t>
      </w:r>
    </w:p>
    <w:p w:rsidR="009D5C59" w:rsidRPr="004D0E21" w:rsidRDefault="00525A97" w:rsidP="004D0E21">
      <w:pPr>
        <w:shd w:val="nil"/>
        <w:jc w:val="right"/>
        <w:rPr>
          <w:rFonts w:ascii="Arial" w:eastAsia="Arial" w:hAnsi="Arial" w:cs="Arial"/>
          <w:sz w:val="24"/>
          <w:szCs w:val="24"/>
        </w:rPr>
      </w:pPr>
      <w:r>
        <w:rPr>
          <w:rFonts w:ascii="Times New Roman" w:eastAsia="Times New Roman" w:hAnsi="Times New Roman" w:cs="Times New Roman"/>
          <w:color w:val="000000"/>
          <w:sz w:val="24"/>
        </w:rPr>
        <w:lastRenderedPageBreak/>
        <w:t>Приложение № 1</w:t>
      </w:r>
    </w:p>
    <w:p w:rsidR="009D5C59" w:rsidRDefault="00525A97">
      <w:pPr>
        <w:pStyle w:val="afc"/>
        <w:jc w:val="right"/>
        <w:rPr>
          <w:rFonts w:ascii="Times New Roman" w:eastAsia="Times New Roman" w:hAnsi="Times New Roman" w:cs="Times New Roman"/>
        </w:rPr>
      </w:pPr>
      <w:r>
        <w:rPr>
          <w:rFonts w:ascii="Times New Roman" w:eastAsia="Times New Roman" w:hAnsi="Times New Roman" w:cs="Times New Roman"/>
          <w:color w:val="000000"/>
          <w:sz w:val="24"/>
        </w:rPr>
        <w:t>к Регламенту</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Руководителю_____________________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от 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(фамилия, имя отчество заявителя;</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наименование юридического лица,</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в лице – должность, ФИО)</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(адрес проживания; местонахождения)</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телефон__________________________</w:t>
      </w:r>
    </w:p>
    <w:p w:rsidR="009D5C59" w:rsidRDefault="009D5C59">
      <w:pPr>
        <w:pStyle w:val="afc"/>
        <w:jc w:val="center"/>
        <w:rPr>
          <w:rFonts w:ascii="Times New Roman" w:hAnsi="Times New Roman" w:cs="Times New Roman"/>
          <w:sz w:val="24"/>
          <w:szCs w:val="24"/>
        </w:rPr>
      </w:pPr>
    </w:p>
    <w:p w:rsidR="009D5C59" w:rsidRDefault="00525A97">
      <w:pPr>
        <w:pStyle w:val="afc"/>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ХОДАТАЙСТВО</w:t>
      </w:r>
    </w:p>
    <w:p w:rsidR="009D5C59" w:rsidRDefault="00525A97">
      <w:pPr>
        <w:pStyle w:val="afc"/>
        <w:jc w:val="center"/>
        <w:rPr>
          <w:rFonts w:ascii="Times New Roman" w:hAnsi="Times New Roman" w:cs="Times New Roman"/>
        </w:rPr>
      </w:pPr>
      <w:r>
        <w:rPr>
          <w:rFonts w:ascii="Times New Roman" w:eastAsia="Times New Roman" w:hAnsi="Times New Roman" w:cs="Times New Roman"/>
          <w:color w:val="000000"/>
          <w:sz w:val="24"/>
        </w:rPr>
        <w:t>о переводе земель из одной категории в другую</w:t>
      </w:r>
    </w:p>
    <w:p w:rsidR="009D5C59" w:rsidRDefault="00525A97">
      <w:pPr>
        <w:pStyle w:val="afc"/>
        <w:jc w:val="center"/>
        <w:rPr>
          <w:rFonts w:ascii="Times New Roman" w:hAnsi="Times New Roman" w:cs="Times New Roman"/>
        </w:rPr>
      </w:pPr>
      <w:r>
        <w:rPr>
          <w:rFonts w:ascii="Times New Roman" w:eastAsia="Times New Roman" w:hAnsi="Times New Roman" w:cs="Times New Roman"/>
          <w:color w:val="000000"/>
          <w:sz w:val="24"/>
        </w:rPr>
        <w:t>(о переводе земельных участков из состава земель одной категории в другую)</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В соответствии со статьей 8 Земельного кодекса Российской Федерации прошу о переводе земель из одной категории в другую (о переводе земельных участков из состава земель одной категории в другую).</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Кадастровый номер земельного участка 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Категория земель, в состав которых входит земельный участок _____________ ____________ 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Категория земель, перевод в состав которых земельного участка предполагается осуществить 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Обоснование перевода земельного участка из состава земель одной категории в другую _______________________________________________________________________ 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Права на земельный участок_________________________________________ 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 заявлению приложены следующие документы:</w:t>
      </w:r>
    </w:p>
    <w:p w:rsidR="009D5C59" w:rsidRDefault="00525A97">
      <w:pPr>
        <w:pStyle w:val="afc"/>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________________________________________________________________________</w:t>
      </w:r>
    </w:p>
    <w:p w:rsidR="009D5C59" w:rsidRDefault="00525A97">
      <w:pPr>
        <w:pStyle w:val="afc"/>
        <w:ind w:firstLine="709"/>
        <w:jc w:val="both"/>
        <w:rPr>
          <w:rFonts w:ascii="Times New Roman" w:hAnsi="Times New Roman" w:cs="Times New Roman"/>
          <w:sz w:val="24"/>
          <w:szCs w:val="24"/>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xml:space="preserve">Способ направления результата/ответа (лично, уполномоченному лицу, почтовым отправлением) ________________________________________________________________ </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1) (если в поле «Способ направления результата/ответа» выбран вариант «уполномоченному лицу»):</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Ф.И.О. (полностью) ______________________________________________________ 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реквизиты доверенности (при наличии доверенности): _____________________________________________________________________________</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lastRenderedPageBreak/>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xml:space="preserve">«____» _________ ______ </w:t>
      </w:r>
      <w:proofErr w:type="gramStart"/>
      <w:r>
        <w:rPr>
          <w:rFonts w:ascii="Times New Roman" w:eastAsia="Times New Roman" w:hAnsi="Times New Roman" w:cs="Times New Roman"/>
          <w:color w:val="000000"/>
          <w:sz w:val="24"/>
        </w:rPr>
        <w:t>г</w:t>
      </w:r>
      <w:proofErr w:type="gramEnd"/>
      <w:r>
        <w:rPr>
          <w:rFonts w:ascii="Times New Roman" w:eastAsia="Times New Roman" w:hAnsi="Times New Roman" w:cs="Times New Roman"/>
          <w:color w:val="000000"/>
          <w:sz w:val="24"/>
        </w:rPr>
        <w:t>.  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xml:space="preserve">             (дата)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 (подпись заявителя;  печать – для юридических лиц)</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w:t>
      </w:r>
    </w:p>
    <w:p w:rsidR="009D5C59" w:rsidRDefault="00525A97">
      <w:pPr>
        <w:shd w:val="nil"/>
        <w:rPr>
          <w:rFonts w:ascii="Times New Roman" w:hAnsi="Times New Roman" w:cs="Times New Roman"/>
          <w:sz w:val="24"/>
          <w:szCs w:val="24"/>
        </w:rPr>
      </w:pPr>
      <w:r>
        <w:rPr>
          <w:rFonts w:ascii="Times New Roman" w:hAnsi="Times New Roman" w:cs="Times New Roman"/>
          <w:sz w:val="24"/>
          <w:szCs w:val="24"/>
        </w:rPr>
        <w:br w:type="page" w:clear="all"/>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lastRenderedPageBreak/>
        <w:t>Приложение № 2</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к Регламенту</w:t>
      </w:r>
    </w:p>
    <w:p w:rsidR="009D5C59" w:rsidRDefault="009D5C59">
      <w:pPr>
        <w:pStyle w:val="afc"/>
        <w:jc w:val="right"/>
        <w:rPr>
          <w:rFonts w:ascii="Times New Roman" w:hAnsi="Times New Roman" w:cs="Times New Roman"/>
          <w:sz w:val="24"/>
          <w:szCs w:val="24"/>
        </w:rPr>
      </w:pPr>
    </w:p>
    <w:p w:rsidR="009D5C59" w:rsidRDefault="009D5C59">
      <w:pPr>
        <w:pStyle w:val="afc"/>
        <w:jc w:val="right"/>
        <w:rPr>
          <w:rFonts w:ascii="Times New Roman" w:hAnsi="Times New Roman" w:cs="Times New Roman"/>
          <w:sz w:val="24"/>
          <w:szCs w:val="24"/>
        </w:rPr>
      </w:pPr>
    </w:p>
    <w:p w:rsidR="009D5C59" w:rsidRDefault="00525A97">
      <w:pPr>
        <w:pStyle w:val="afc"/>
        <w:jc w:val="center"/>
        <w:rPr>
          <w:rFonts w:ascii="Times New Roman" w:hAnsi="Times New Roman" w:cs="Times New Roman"/>
        </w:rPr>
      </w:pPr>
      <w:r>
        <w:rPr>
          <w:rFonts w:ascii="Times New Roman" w:eastAsia="Times New Roman" w:hAnsi="Times New Roman" w:cs="Times New Roman"/>
          <w:color w:val="000000"/>
          <w:sz w:val="24"/>
        </w:rPr>
        <w:t>БЛОК-СХЕМА</w:t>
      </w:r>
    </w:p>
    <w:p w:rsidR="009D5C59" w:rsidRDefault="00525A97">
      <w:pPr>
        <w:pStyle w:val="afc"/>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предоставления муниципальной услуги</w:t>
      </w:r>
    </w:p>
    <w:p w:rsidR="009D5C59" w:rsidRDefault="009D5C59">
      <w:pPr>
        <w:pStyle w:val="afc"/>
        <w:jc w:val="center"/>
        <w:rPr>
          <w:rFonts w:ascii="Times New Roman" w:hAnsi="Times New Roman" w:cs="Times New Roman"/>
          <w:sz w:val="24"/>
          <w:szCs w:val="24"/>
        </w:rPr>
      </w:pPr>
    </w:p>
    <w:p w:rsidR="009D5C59" w:rsidRDefault="00262E32">
      <w:pPr>
        <w:pStyle w:val="afc"/>
        <w:jc w:val="both"/>
        <w:rPr>
          <w:rFonts w:ascii="Times New Roman" w:hAnsi="Times New Roman" w:cs="Times New Roman"/>
        </w:rPr>
      </w:pPr>
      <w:r w:rsidRPr="001A794A">
        <w:rPr>
          <w:rFonts w:ascii="Times New Roman" w:eastAsia="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461.25pt;height:422.25pt;mso-wrap-distance-left:0;mso-wrap-distance-top:0;mso-wrap-distance-right:0;mso-wrap-distance-bottom:0">
            <v:imagedata r:id="rId24" o:title=""/>
            <o:lock v:ext="edit" rotation="t"/>
          </v:shape>
        </w:pic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9D5C59">
      <w:pPr>
        <w:pStyle w:val="afc"/>
        <w:jc w:val="right"/>
        <w:rPr>
          <w:rFonts w:ascii="Times New Roman" w:hAnsi="Times New Roman" w:cs="Times New Roman"/>
          <w:sz w:val="28"/>
          <w:szCs w:val="28"/>
        </w:rPr>
      </w:pPr>
    </w:p>
    <w:sectPr w:rsidR="009D5C59" w:rsidSect="009D5C59">
      <w:headerReference w:type="default" r:id="rId25"/>
      <w:footerReference w:type="default" r:id="rId26"/>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1BF" w:rsidRDefault="00DE51BF">
      <w:pPr>
        <w:spacing w:after="0" w:line="240" w:lineRule="auto"/>
      </w:pPr>
      <w:r>
        <w:separator/>
      </w:r>
    </w:p>
  </w:endnote>
  <w:endnote w:type="continuationSeparator" w:id="0">
    <w:p w:rsidR="00DE51BF" w:rsidRDefault="00DE51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9" w:rsidRDefault="009D5C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1BF" w:rsidRDefault="00DE51BF">
      <w:pPr>
        <w:spacing w:after="0" w:line="240" w:lineRule="auto"/>
      </w:pPr>
      <w:r>
        <w:separator/>
      </w:r>
    </w:p>
  </w:footnote>
  <w:footnote w:type="continuationSeparator" w:id="0">
    <w:p w:rsidR="00DE51BF" w:rsidRDefault="00DE51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9" w:rsidRDefault="009D5C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1BBA1B42"/>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E1341B9C"/>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C0FAEF1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0BEEF68A"/>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A2AAC4A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D5C59"/>
    <w:rsid w:val="001A794A"/>
    <w:rsid w:val="00262E32"/>
    <w:rsid w:val="004D0E21"/>
    <w:rsid w:val="00525A97"/>
    <w:rsid w:val="009D5C59"/>
    <w:rsid w:val="00DE51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C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5C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9D5C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D5C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D5C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D5C5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D5C5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9D5C5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D5C5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D5C5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D5C5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9D5C5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9D5C5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D5C5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9D5C5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D5C5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D5C5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D5C5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9D5C5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9D5C5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D5C5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9D5C5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D5C5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D5C5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D5C5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9D5C5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9D5C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D5C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9D5C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D5C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D5C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D5C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9D5C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9D5C5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D5C5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9D5C5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D5C5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D5C5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D5C5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9D5C5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9D5C5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D5C5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9D5C5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D5C5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D5C5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D5C5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9D5C5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9D5C5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D5C5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9D5C5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D5C5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D5C5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D5C5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9D5C5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9D5C5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D5C5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9D5C5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D5C5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D5C5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D5C5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9D5C5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9D5C5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D5C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9D5C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D5C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D5C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D5C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9D5C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9D5C5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D5C5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9D5C5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D5C5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D5C5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D5C5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9D5C5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9D5C5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D5C5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9D5C5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D5C5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D5C5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D5C5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9D5C5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9D5C5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D5C5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9D5C5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D5C5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D5C5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D5C5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9D5C5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D5C5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D5C5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9D5C5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D5C5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D5C5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D5C5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9D5C5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9D5C59"/>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9D5C59"/>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9D5C59"/>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9D5C59"/>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9D5C59"/>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9D5C59"/>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9D5C59"/>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9D5C59"/>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9D5C59"/>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9D5C59"/>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9D5C59"/>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9D5C59"/>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9D5C59"/>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9D5C59"/>
    <w:rPr>
      <w:rFonts w:ascii="Arial" w:eastAsia="Arial" w:hAnsi="Arial" w:cs="Arial"/>
      <w:color w:val="2E74B5" w:themeColor="accent1" w:themeShade="BF"/>
    </w:rPr>
  </w:style>
  <w:style w:type="character" w:customStyle="1" w:styleId="Heading6Char">
    <w:name w:val="Heading 6 Char"/>
    <w:basedOn w:val="a0"/>
    <w:link w:val="Heading6"/>
    <w:uiPriority w:val="9"/>
    <w:rsid w:val="009D5C59"/>
    <w:rPr>
      <w:rFonts w:ascii="Arial" w:eastAsia="Arial" w:hAnsi="Arial" w:cs="Arial"/>
      <w:i/>
      <w:iCs/>
      <w:color w:val="595959" w:themeColor="text1" w:themeTint="A6"/>
    </w:rPr>
  </w:style>
  <w:style w:type="character" w:customStyle="1" w:styleId="Heading7Char">
    <w:name w:val="Heading 7 Char"/>
    <w:basedOn w:val="a0"/>
    <w:link w:val="Heading7"/>
    <w:uiPriority w:val="9"/>
    <w:rsid w:val="009D5C59"/>
    <w:rPr>
      <w:rFonts w:ascii="Arial" w:eastAsia="Arial" w:hAnsi="Arial" w:cs="Arial"/>
      <w:color w:val="595959" w:themeColor="text1" w:themeTint="A6"/>
    </w:rPr>
  </w:style>
  <w:style w:type="character" w:customStyle="1" w:styleId="Heading8Char">
    <w:name w:val="Heading 8 Char"/>
    <w:basedOn w:val="a0"/>
    <w:link w:val="Heading8"/>
    <w:uiPriority w:val="9"/>
    <w:rsid w:val="009D5C59"/>
    <w:rPr>
      <w:rFonts w:ascii="Arial" w:eastAsia="Arial" w:hAnsi="Arial" w:cs="Arial"/>
      <w:i/>
      <w:iCs/>
      <w:color w:val="272727" w:themeColor="text1" w:themeTint="D8"/>
    </w:rPr>
  </w:style>
  <w:style w:type="character" w:customStyle="1" w:styleId="Heading9Char">
    <w:name w:val="Heading 9 Char"/>
    <w:basedOn w:val="a0"/>
    <w:link w:val="Heading9"/>
    <w:uiPriority w:val="9"/>
    <w:rsid w:val="009D5C59"/>
    <w:rPr>
      <w:rFonts w:ascii="Arial" w:eastAsia="Arial" w:hAnsi="Arial" w:cs="Arial"/>
      <w:i/>
      <w:iCs/>
      <w:color w:val="272727" w:themeColor="text1" w:themeTint="D8"/>
    </w:rPr>
  </w:style>
  <w:style w:type="paragraph" w:styleId="a4">
    <w:name w:val="Title"/>
    <w:basedOn w:val="a"/>
    <w:next w:val="a"/>
    <w:link w:val="a5"/>
    <w:uiPriority w:val="10"/>
    <w:qFormat/>
    <w:rsid w:val="009D5C59"/>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9D5C59"/>
    <w:rPr>
      <w:rFonts w:ascii="Arial" w:eastAsia="Arial" w:hAnsi="Arial" w:cs="Arial"/>
      <w:spacing w:val="-10"/>
      <w:sz w:val="56"/>
      <w:szCs w:val="56"/>
    </w:rPr>
  </w:style>
  <w:style w:type="paragraph" w:styleId="a6">
    <w:name w:val="Subtitle"/>
    <w:basedOn w:val="a"/>
    <w:next w:val="a"/>
    <w:link w:val="a7"/>
    <w:uiPriority w:val="11"/>
    <w:qFormat/>
    <w:rsid w:val="009D5C59"/>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9D5C59"/>
    <w:rPr>
      <w:color w:val="595959" w:themeColor="text1" w:themeTint="A6"/>
      <w:spacing w:val="15"/>
      <w:sz w:val="28"/>
      <w:szCs w:val="28"/>
    </w:rPr>
  </w:style>
  <w:style w:type="paragraph" w:styleId="2">
    <w:name w:val="Quote"/>
    <w:basedOn w:val="a"/>
    <w:next w:val="a"/>
    <w:link w:val="20"/>
    <w:uiPriority w:val="29"/>
    <w:qFormat/>
    <w:rsid w:val="009D5C59"/>
    <w:pPr>
      <w:spacing w:before="160"/>
      <w:jc w:val="center"/>
    </w:pPr>
    <w:rPr>
      <w:i/>
      <w:iCs/>
      <w:color w:val="404040" w:themeColor="text1" w:themeTint="BF"/>
    </w:rPr>
  </w:style>
  <w:style w:type="character" w:customStyle="1" w:styleId="20">
    <w:name w:val="Цитата 2 Знак"/>
    <w:basedOn w:val="a0"/>
    <w:link w:val="2"/>
    <w:uiPriority w:val="29"/>
    <w:rsid w:val="009D5C59"/>
    <w:rPr>
      <w:i/>
      <w:iCs/>
      <w:color w:val="404040" w:themeColor="text1" w:themeTint="BF"/>
    </w:rPr>
  </w:style>
  <w:style w:type="character" w:styleId="a8">
    <w:name w:val="Intense Emphasis"/>
    <w:basedOn w:val="a0"/>
    <w:uiPriority w:val="21"/>
    <w:qFormat/>
    <w:rsid w:val="009D5C59"/>
    <w:rPr>
      <w:i/>
      <w:iCs/>
      <w:color w:val="2E74B5" w:themeColor="accent1" w:themeShade="BF"/>
    </w:rPr>
  </w:style>
  <w:style w:type="paragraph" w:styleId="a9">
    <w:name w:val="Intense Quote"/>
    <w:basedOn w:val="a"/>
    <w:next w:val="a"/>
    <w:link w:val="aa"/>
    <w:uiPriority w:val="30"/>
    <w:qFormat/>
    <w:rsid w:val="009D5C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9D5C59"/>
    <w:rPr>
      <w:i/>
      <w:iCs/>
      <w:color w:val="2E74B5" w:themeColor="accent1" w:themeShade="BF"/>
    </w:rPr>
  </w:style>
  <w:style w:type="character" w:styleId="ab">
    <w:name w:val="Intense Reference"/>
    <w:basedOn w:val="a0"/>
    <w:uiPriority w:val="32"/>
    <w:qFormat/>
    <w:rsid w:val="009D5C59"/>
    <w:rPr>
      <w:b/>
      <w:bCs/>
      <w:smallCaps/>
      <w:color w:val="2E74B5" w:themeColor="accent1" w:themeShade="BF"/>
      <w:spacing w:val="5"/>
    </w:rPr>
  </w:style>
  <w:style w:type="character" w:styleId="ac">
    <w:name w:val="Subtle Emphasis"/>
    <w:basedOn w:val="a0"/>
    <w:uiPriority w:val="19"/>
    <w:qFormat/>
    <w:rsid w:val="009D5C59"/>
    <w:rPr>
      <w:i/>
      <w:iCs/>
      <w:color w:val="404040" w:themeColor="text1" w:themeTint="BF"/>
    </w:rPr>
  </w:style>
  <w:style w:type="character" w:styleId="ad">
    <w:name w:val="Emphasis"/>
    <w:basedOn w:val="a0"/>
    <w:uiPriority w:val="20"/>
    <w:qFormat/>
    <w:rsid w:val="009D5C59"/>
    <w:rPr>
      <w:i/>
      <w:iCs/>
    </w:rPr>
  </w:style>
  <w:style w:type="character" w:styleId="ae">
    <w:name w:val="Strong"/>
    <w:basedOn w:val="a0"/>
    <w:uiPriority w:val="22"/>
    <w:qFormat/>
    <w:rsid w:val="009D5C59"/>
    <w:rPr>
      <w:b/>
      <w:bCs/>
    </w:rPr>
  </w:style>
  <w:style w:type="character" w:styleId="af">
    <w:name w:val="Subtle Reference"/>
    <w:basedOn w:val="a0"/>
    <w:uiPriority w:val="31"/>
    <w:qFormat/>
    <w:rsid w:val="009D5C59"/>
    <w:rPr>
      <w:smallCaps/>
      <w:color w:val="5A5A5A" w:themeColor="text1" w:themeTint="A5"/>
    </w:rPr>
  </w:style>
  <w:style w:type="character" w:styleId="af0">
    <w:name w:val="Book Title"/>
    <w:basedOn w:val="a0"/>
    <w:uiPriority w:val="33"/>
    <w:qFormat/>
    <w:rsid w:val="009D5C59"/>
    <w:rPr>
      <w:b/>
      <w:bCs/>
      <w:i/>
      <w:iCs/>
      <w:spacing w:val="5"/>
    </w:rPr>
  </w:style>
  <w:style w:type="paragraph" w:customStyle="1" w:styleId="Header">
    <w:name w:val="Header"/>
    <w:basedOn w:val="a"/>
    <w:link w:val="HeaderChar"/>
    <w:uiPriority w:val="99"/>
    <w:unhideWhenUsed/>
    <w:rsid w:val="009D5C59"/>
    <w:pPr>
      <w:tabs>
        <w:tab w:val="center" w:pos="4844"/>
        <w:tab w:val="right" w:pos="9689"/>
      </w:tabs>
      <w:spacing w:after="0" w:line="240" w:lineRule="auto"/>
    </w:pPr>
  </w:style>
  <w:style w:type="character" w:customStyle="1" w:styleId="HeaderChar">
    <w:name w:val="Header Char"/>
    <w:basedOn w:val="a0"/>
    <w:link w:val="Header"/>
    <w:uiPriority w:val="99"/>
    <w:rsid w:val="009D5C59"/>
  </w:style>
  <w:style w:type="paragraph" w:customStyle="1" w:styleId="Footer">
    <w:name w:val="Footer"/>
    <w:basedOn w:val="a"/>
    <w:link w:val="FooterChar"/>
    <w:uiPriority w:val="99"/>
    <w:unhideWhenUsed/>
    <w:rsid w:val="009D5C59"/>
    <w:pPr>
      <w:tabs>
        <w:tab w:val="center" w:pos="4844"/>
        <w:tab w:val="right" w:pos="9689"/>
      </w:tabs>
      <w:spacing w:after="0" w:line="240" w:lineRule="auto"/>
    </w:pPr>
  </w:style>
  <w:style w:type="character" w:customStyle="1" w:styleId="FooterChar">
    <w:name w:val="Footer Char"/>
    <w:basedOn w:val="a0"/>
    <w:link w:val="Footer"/>
    <w:uiPriority w:val="99"/>
    <w:rsid w:val="009D5C59"/>
  </w:style>
  <w:style w:type="paragraph" w:customStyle="1" w:styleId="Caption">
    <w:name w:val="Caption"/>
    <w:basedOn w:val="a"/>
    <w:next w:val="a"/>
    <w:uiPriority w:val="35"/>
    <w:unhideWhenUsed/>
    <w:qFormat/>
    <w:rsid w:val="009D5C59"/>
    <w:pPr>
      <w:spacing w:line="240" w:lineRule="auto"/>
    </w:pPr>
    <w:rPr>
      <w:i/>
      <w:iCs/>
      <w:color w:val="44546A" w:themeColor="text2"/>
      <w:sz w:val="18"/>
      <w:szCs w:val="18"/>
    </w:rPr>
  </w:style>
  <w:style w:type="paragraph" w:styleId="af1">
    <w:name w:val="footnote text"/>
    <w:basedOn w:val="a"/>
    <w:link w:val="af2"/>
    <w:uiPriority w:val="99"/>
    <w:semiHidden/>
    <w:unhideWhenUsed/>
    <w:rsid w:val="009D5C59"/>
    <w:pPr>
      <w:spacing w:after="0" w:line="240" w:lineRule="auto"/>
    </w:pPr>
    <w:rPr>
      <w:sz w:val="20"/>
      <w:szCs w:val="20"/>
    </w:rPr>
  </w:style>
  <w:style w:type="character" w:customStyle="1" w:styleId="af2">
    <w:name w:val="Текст сноски Знак"/>
    <w:basedOn w:val="a0"/>
    <w:link w:val="af1"/>
    <w:uiPriority w:val="99"/>
    <w:semiHidden/>
    <w:rsid w:val="009D5C59"/>
    <w:rPr>
      <w:sz w:val="20"/>
      <w:szCs w:val="20"/>
    </w:rPr>
  </w:style>
  <w:style w:type="character" w:styleId="af3">
    <w:name w:val="footnote reference"/>
    <w:basedOn w:val="a0"/>
    <w:uiPriority w:val="99"/>
    <w:semiHidden/>
    <w:unhideWhenUsed/>
    <w:rsid w:val="009D5C59"/>
    <w:rPr>
      <w:vertAlign w:val="superscript"/>
    </w:rPr>
  </w:style>
  <w:style w:type="paragraph" w:styleId="af4">
    <w:name w:val="endnote text"/>
    <w:basedOn w:val="a"/>
    <w:link w:val="af5"/>
    <w:uiPriority w:val="99"/>
    <w:semiHidden/>
    <w:unhideWhenUsed/>
    <w:rsid w:val="009D5C59"/>
    <w:pPr>
      <w:spacing w:after="0" w:line="240" w:lineRule="auto"/>
    </w:pPr>
    <w:rPr>
      <w:sz w:val="20"/>
      <w:szCs w:val="20"/>
    </w:rPr>
  </w:style>
  <w:style w:type="character" w:customStyle="1" w:styleId="af5">
    <w:name w:val="Текст концевой сноски Знак"/>
    <w:basedOn w:val="a0"/>
    <w:link w:val="af4"/>
    <w:uiPriority w:val="99"/>
    <w:semiHidden/>
    <w:rsid w:val="009D5C59"/>
    <w:rPr>
      <w:sz w:val="20"/>
      <w:szCs w:val="20"/>
    </w:rPr>
  </w:style>
  <w:style w:type="character" w:styleId="af6">
    <w:name w:val="endnote reference"/>
    <w:basedOn w:val="a0"/>
    <w:uiPriority w:val="99"/>
    <w:semiHidden/>
    <w:unhideWhenUsed/>
    <w:rsid w:val="009D5C59"/>
    <w:rPr>
      <w:vertAlign w:val="superscript"/>
    </w:rPr>
  </w:style>
  <w:style w:type="character" w:styleId="af7">
    <w:name w:val="Hyperlink"/>
    <w:basedOn w:val="a0"/>
    <w:uiPriority w:val="99"/>
    <w:unhideWhenUsed/>
    <w:rsid w:val="009D5C59"/>
    <w:rPr>
      <w:color w:val="0563C1" w:themeColor="hyperlink"/>
      <w:u w:val="single"/>
    </w:rPr>
  </w:style>
  <w:style w:type="character" w:styleId="af8">
    <w:name w:val="FollowedHyperlink"/>
    <w:basedOn w:val="a0"/>
    <w:uiPriority w:val="99"/>
    <w:semiHidden/>
    <w:unhideWhenUsed/>
    <w:rsid w:val="009D5C59"/>
    <w:rPr>
      <w:color w:val="954F72" w:themeColor="followedHyperlink"/>
      <w:u w:val="single"/>
    </w:rPr>
  </w:style>
  <w:style w:type="paragraph" w:styleId="1">
    <w:name w:val="toc 1"/>
    <w:basedOn w:val="a"/>
    <w:next w:val="a"/>
    <w:uiPriority w:val="39"/>
    <w:unhideWhenUsed/>
    <w:rsid w:val="009D5C59"/>
    <w:pPr>
      <w:spacing w:after="100"/>
    </w:pPr>
  </w:style>
  <w:style w:type="paragraph" w:styleId="21">
    <w:name w:val="toc 2"/>
    <w:basedOn w:val="a"/>
    <w:next w:val="a"/>
    <w:uiPriority w:val="39"/>
    <w:unhideWhenUsed/>
    <w:rsid w:val="009D5C59"/>
    <w:pPr>
      <w:spacing w:after="100"/>
      <w:ind w:left="220"/>
    </w:pPr>
  </w:style>
  <w:style w:type="paragraph" w:styleId="3">
    <w:name w:val="toc 3"/>
    <w:basedOn w:val="a"/>
    <w:next w:val="a"/>
    <w:uiPriority w:val="39"/>
    <w:unhideWhenUsed/>
    <w:rsid w:val="009D5C59"/>
    <w:pPr>
      <w:spacing w:after="100"/>
      <w:ind w:left="440"/>
    </w:pPr>
  </w:style>
  <w:style w:type="paragraph" w:styleId="4">
    <w:name w:val="toc 4"/>
    <w:basedOn w:val="a"/>
    <w:next w:val="a"/>
    <w:uiPriority w:val="39"/>
    <w:unhideWhenUsed/>
    <w:rsid w:val="009D5C59"/>
    <w:pPr>
      <w:spacing w:after="100"/>
      <w:ind w:left="660"/>
    </w:pPr>
  </w:style>
  <w:style w:type="paragraph" w:styleId="5">
    <w:name w:val="toc 5"/>
    <w:basedOn w:val="a"/>
    <w:next w:val="a"/>
    <w:uiPriority w:val="39"/>
    <w:unhideWhenUsed/>
    <w:rsid w:val="009D5C59"/>
    <w:pPr>
      <w:spacing w:after="100"/>
      <w:ind w:left="880"/>
    </w:pPr>
  </w:style>
  <w:style w:type="paragraph" w:styleId="6">
    <w:name w:val="toc 6"/>
    <w:basedOn w:val="a"/>
    <w:next w:val="a"/>
    <w:uiPriority w:val="39"/>
    <w:unhideWhenUsed/>
    <w:rsid w:val="009D5C59"/>
    <w:pPr>
      <w:spacing w:after="100"/>
      <w:ind w:left="1100"/>
    </w:pPr>
  </w:style>
  <w:style w:type="paragraph" w:styleId="7">
    <w:name w:val="toc 7"/>
    <w:basedOn w:val="a"/>
    <w:next w:val="a"/>
    <w:uiPriority w:val="39"/>
    <w:unhideWhenUsed/>
    <w:rsid w:val="009D5C59"/>
    <w:pPr>
      <w:spacing w:after="100"/>
      <w:ind w:left="1320"/>
    </w:pPr>
  </w:style>
  <w:style w:type="paragraph" w:styleId="8">
    <w:name w:val="toc 8"/>
    <w:basedOn w:val="a"/>
    <w:next w:val="a"/>
    <w:uiPriority w:val="39"/>
    <w:unhideWhenUsed/>
    <w:rsid w:val="009D5C59"/>
    <w:pPr>
      <w:spacing w:after="100"/>
      <w:ind w:left="1540"/>
    </w:pPr>
  </w:style>
  <w:style w:type="paragraph" w:styleId="9">
    <w:name w:val="toc 9"/>
    <w:basedOn w:val="a"/>
    <w:next w:val="a"/>
    <w:uiPriority w:val="39"/>
    <w:unhideWhenUsed/>
    <w:rsid w:val="009D5C59"/>
    <w:pPr>
      <w:spacing w:after="100"/>
      <w:ind w:left="1760"/>
    </w:pPr>
  </w:style>
  <w:style w:type="character" w:styleId="af9">
    <w:name w:val="Placeholder Text"/>
    <w:basedOn w:val="a0"/>
    <w:uiPriority w:val="99"/>
    <w:semiHidden/>
    <w:rsid w:val="009D5C59"/>
    <w:rPr>
      <w:color w:val="666666"/>
    </w:rPr>
  </w:style>
  <w:style w:type="paragraph" w:styleId="afa">
    <w:name w:val="TOC Heading"/>
    <w:uiPriority w:val="39"/>
    <w:unhideWhenUsed/>
    <w:rsid w:val="009D5C59"/>
  </w:style>
  <w:style w:type="paragraph" w:styleId="afb">
    <w:name w:val="table of figures"/>
    <w:basedOn w:val="a"/>
    <w:next w:val="a"/>
    <w:uiPriority w:val="99"/>
    <w:unhideWhenUsed/>
    <w:rsid w:val="009D5C59"/>
    <w:pPr>
      <w:spacing w:after="0"/>
    </w:pPr>
  </w:style>
  <w:style w:type="paragraph" w:styleId="afc">
    <w:name w:val="No Spacing"/>
    <w:basedOn w:val="a"/>
    <w:uiPriority w:val="1"/>
    <w:qFormat/>
    <w:rsid w:val="009D5C59"/>
    <w:pPr>
      <w:spacing w:after="0" w:line="240" w:lineRule="auto"/>
    </w:pPr>
  </w:style>
  <w:style w:type="paragraph" w:styleId="afd">
    <w:name w:val="List Paragraph"/>
    <w:basedOn w:val="a"/>
    <w:uiPriority w:val="34"/>
    <w:qFormat/>
    <w:rsid w:val="009D5C59"/>
    <w:pPr>
      <w:ind w:left="720"/>
      <w:contextualSpacing/>
    </w:pPr>
  </w:style>
  <w:style w:type="paragraph" w:customStyle="1" w:styleId="consplusnormal0">
    <w:name w:val="consplusnormal"/>
    <w:rsid w:val="009D5C5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9D5C59"/>
  </w:style>
  <w:style w:type="paragraph" w:customStyle="1" w:styleId="11">
    <w:name w:val="Обычный (веб)1"/>
    <w:uiPriority w:val="99"/>
    <w:unhideWhenUsed/>
    <w:rsid w:val="009D5C5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9D5C59"/>
    <w:rPr>
      <w:rFonts w:cs="Times New Roman"/>
      <w:b/>
      <w:color w:val="106BBE"/>
    </w:rPr>
  </w:style>
  <w:style w:type="paragraph" w:customStyle="1" w:styleId="ConsPlusNormal">
    <w:name w:val="ConsPlusNormal"/>
    <w:link w:val="GridTable4-Accent6"/>
    <w:rsid w:val="009D5C59"/>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9D5C59"/>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D0A5F721-EFE1-45E7-B29A-83B806984C5B" TargetMode="External"/><Relationship Id="rId13" Type="http://schemas.openxmlformats.org/officeDocument/2006/relationships/hyperlink" Target="http://www.adbirofeld@mail.ru/"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pravo-search.minjust.ru/bigs/showDocument.html?id=630511CB-1E01-4290-9D0D-1865F65685F5" TargetMode="External"/><Relationship Id="rId7" Type="http://schemas.openxmlformats.org/officeDocument/2006/relationships/hyperlink" Target="https://pravo-search.minjust.ru/bigs/showDocument.html?id=370BA400-14C4-4CDB-8A8B-B11F2A1A2F55" TargetMode="External"/><Relationship Id="rId12" Type="http://schemas.openxmlformats.org/officeDocument/2006/relationships/hyperlink" Target="https://internet.garant.ru/"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E999DCF9-926B-4FA1-9B51-8FD631C66B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pravo-search.minjust.ru/bigs/showDocument.html?id=4F48675C-2DC2-4B7B-8F43-C7D17AB9072F"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theme" Target="theme/theme1.xml"/><Relationship Id="rId10" Type="http://schemas.openxmlformats.org/officeDocument/2006/relationships/hyperlink" Target="https://pravo-search.minjust.ru/bigs/showDocument.html?id=96E20C02-1B12-465A-B64C-24AA92270007" TargetMode="External"/><Relationship Id="rId19"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FAB97FEE-1BF1-4535-B011-2658FBCAF500" TargetMode="External"/><Relationship Id="rId14" Type="http://schemas.openxmlformats.org/officeDocument/2006/relationships/hyperlink" Target="http://www.adbirofeld@mail.ru/" TargetMode="External"/><Relationship Id="rId22" Type="http://schemas.openxmlformats.org/officeDocument/2006/relationships/hyperlink" Target="https://pravo-search.minjust.ru/content/edition/d280b148-dd96-4baa-923b-00fc0aa2b30b.do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6526</Words>
  <Characters>37202</Characters>
  <Application>Microsoft Office Word</Application>
  <DocSecurity>0</DocSecurity>
  <Lines>310</Lines>
  <Paragraphs>87</Paragraphs>
  <ScaleCrop>false</ScaleCrop>
  <Company/>
  <LinksUpToDate>false</LinksUpToDate>
  <CharactersWithSpaces>43641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25</cp:revision>
  <dcterms:created xsi:type="dcterms:W3CDTF">2026-04-19T22:08:00Z</dcterms:created>
  <dcterms:modified xsi:type="dcterms:W3CDTF">2026-04-22T01:00:00Z</dcterms:modified>
</cp:coreProperties>
</file>