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9"/>
        <w:pBdr/>
        <w:spacing/>
        <w:ind/>
        <w:jc w:val="center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Таблица поправок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9"/>
        <w:pBdr/>
        <w:spacing/>
        <w:ind/>
        <w:jc w:val="center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 проекту решения Собрания депутатов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муниципального образования «Бирофельдское сельское поселение»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Биробиджанского муниципального района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«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 принятии новой редакции Устава муниципального образования «Бирофельдское сельское поселение» Биробиджанского муниципального района Еврейской автономной области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889"/>
        <w:pBdr/>
        <w:spacing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Опубликованная редакция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Предлагаемая редакция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Примечания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none"/>
              </w:rPr>
              <w:t xml:space="preserve">Абзац 1 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ункта 1 статьи 8. Местный референдум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2"/>
              <w:pBdr/>
              <w:spacing w:after="0" w:afterAutospacing="0" w:before="0" w:beforeAutospacing="0" w:line="288" w:lineRule="atLeast"/>
              <w:ind w:firstLine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1. Местный референдум проводится в целях решения непосредственно населением вопросов непосредственного обеспечения жизнедеятельности населения.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2"/>
              <w:pBdr/>
              <w:spacing w:after="0" w:afterAutospacing="0" w:before="0" w:beforeAutospacing="0" w:line="288" w:lineRule="atLeast"/>
              <w:ind w:firstLine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1. Местный референдум проводится в целях решения вопросов непосредственного обеспечения жизнедеятельности населения.</w:t>
            </w:r>
            <w:r>
              <w:rPr>
                <w:color w:val="ff0000"/>
                <w:sz w:val="28"/>
                <w:szCs w:val="28"/>
              </w:rPr>
            </w: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Абзац 2 пункта 2 статьи 8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Местный референдум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14:ligatures w14:val="none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случае если местный референдум не назначен Собранием депутатов в установленные сроки, референдум назначается судом на основании обращения граждан, избирательных объединений, главы сельского поселен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ия, органов государственной власти Еврейской автономной области, территориальной избирательной комиссии или участковой избирательной комиссией в случае исполнения ею полномочий комиссии, организующей подготовку и проведение выборов депутатов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или прокурора.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Назначенный судом местный референдум орга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низуется комиссией, организующей подготовку и проведение местного референдума, а обеспечение его проведения осуществляется правительством Еврейской автономной области или иным органом, на который судом возложено обеспечение проведения местного референдума.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 случае если местный референдум не назначен Собранием депутатов в установленные сроки, референдум назн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ачается судом на основании обращения граждан, избир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ательных объединений, главы сельского поселения, органов государственной власти Еврейской автономной области, территориальной избирательной комиссии или участковой избирательной комиссией в случае исполнения ею полномочий комиссии, организующей подготовку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 проведение выборов депутатов.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Назначенный судом местный референдум орга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низуется ком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иссией, организующей подготовку и проведение местного референдума, а обеспечение его проведения осуществляется правительством Еврейской автономной области или иным органом, на который судом возложено обеспечение проведения местного референдума.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Исключить «или прокурора»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14:ligatures w14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right="0" w:firstLine="0"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Пункт 5 статьи 10. Публичные слушания, общественные обсуждения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проектам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генеральных планов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, проектам правил землепользования и застройки, проектам планировки территории, проектам межевания территории, проектам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правил благоустройства территорий, проектам, предусматривающим внесение изменений в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один из указанных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утвержденных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документов, проектам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решений о предоставлении ра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 строительства, вопросам изменения одного вида разрешенного использования земельных участков и объек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тов капитального строительства на другой вид такого использования при отсутствии утвержденных правил землепользования и застройки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проводятся публичные слушания или общественные обсуждения в соответствии с законодательством о градостроительной деятельности.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5. По проекту правил благоустройства территории сельского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поселения, проектам, предусматривающим внесение изменений в утвержденные правила благоустройства территории сельского поселения, проводятся публичные слушания или общественные обсуждения в соответствии с законодательством о градостроительной деятельности.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:lang w:val="ru-RU"/>
              </w:rPr>
              <w:t xml:space="preserve">Подпункт 11 пункта 1 с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тать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:lang w:val="ru-RU"/>
              </w:rPr>
              <w:t xml:space="preserve">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 18. Полномочия Собрания депутатов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/>
        <w:tc>
          <w:tcPr>
            <w:tcBorders/>
            <w:tcW w:w="5235" w:type="dxa"/>
            <w:vMerge w:val="restart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11) заслушивание ежегодных 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 главы сельского поселения о результатах его деятельности, деятельности администрации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и иных подведомственных главе сельского поселения органов местного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о решении вопросов, поставленных Собранием депутатов сельского поселения.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vMerge w:val="restart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11) заслушивание ежегодных отчетов главы сельского поселения о результатах его деятельности, деятельности администрации, в том числе о решении вопросов, поставленных Собранием депутатов сельского поселения.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vMerge w:val="restart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:lang w:val="ru-RU"/>
              </w:rPr>
              <w:t xml:space="preserve">Подпункт 8 пункта 2 с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тать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:lang w:val="ru-RU"/>
              </w:rPr>
              <w:t xml:space="preserve">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 18. Полномочия Собрания депутатов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осуществление иных полномочий, отнесенных к ведению Собрания депутатов федеральными законами, законами Еврейской автономной области и настоящим Уставом.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9) осуществление иных полномочий, отнесенных к ведению Собрания депутатов федеральными законами, законами Еврейской автономной области и настоящим Уставом.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8) учреждение печатного средства массовой информации для обнародования муниципальных правовых актов, доведения до сведения жителей сельского поселения официальной информации;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highlight w:val="none"/>
              </w:rPr>
            </w:r>
          </w:p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9) осуществление иных полномочий, отнесенных к ведению Собрания депутатов федеральными законами, законами Еврейской автономной области и настоящим Уставом.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осуществление иных полномочий, отнесенных к ведению Собрания депутатов федеральными законами, законами Еврейской автономной области и настоящим Уставом.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ndefined"/>
              </w:rPr>
              <w:t xml:space="preserve">Добавить подпункт со смещением нумерации подпунктов</w:t>
            </w:r>
            <w:r>
              <w:rPr>
                <w:rFonts w:ascii="Times New Roman" w:hAnsi="Times New Roman" w:cs="Times New Roman"/>
                <w:sz w:val="28"/>
                <w:szCs w:val="28"/>
                <w:lang w:val="undefined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Подпункт 1 пункта 4 статьи 20. Председатель Собрания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представляет Собрание депутатов в отношениях с органами местного самоуправления других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поселений,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органами государственной власти, гражданами и организациями, без доверенности действует от имени Собрания депутатов;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1) представляет Собрание депутатов в отношениях с органами местного самоуправления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других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муниципальных образований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органами государственной власти, гражданами и организациями, без доверенности действует от имени Собрания депутатов;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color w:val="ff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highlight w:val="none"/>
              </w:rPr>
              <w:t xml:space="preserve">«поселений» </w:t>
            </w:r>
            <w:r>
              <w:rPr>
                <w:rFonts w:ascii="Times New Roman" w:hAnsi="Times New Roman"/>
                <w:color w:val="auto"/>
                <w:sz w:val="28"/>
                <w:szCs w:val="28"/>
                <w:highlight w:val="none"/>
              </w:rPr>
              <w:t xml:space="preserve">заменить на </w:t>
            </w:r>
            <w:r>
              <w:rPr>
                <w:rFonts w:ascii="Times New Roman" w:hAnsi="Times New Roman"/>
                <w:color w:val="ff0000"/>
                <w:sz w:val="28"/>
                <w:szCs w:val="28"/>
                <w:highlight w:val="none"/>
              </w:rPr>
              <w:t xml:space="preserve">«муниципальных образований»</w:t>
            </w:r>
            <w:r>
              <w:rPr>
                <w:rFonts w:ascii="Times New Roman" w:hAnsi="Times New Roman"/>
                <w:color w:val="ff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ff0000"/>
                <w:sz w:val="28"/>
                <w:szCs w:val="28"/>
                <w:highlight w:val="none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Подпункт 5 пункта 1 статьи 22. Нормативные и иные правовые акты Собрания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иные нормативные правовые акты, принятые Собранием депутатов по вопросам, отнесенным к его компетенции федеральными законами, законами субъекта Российской Федерации, Уставом сельского поселения.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5) иные нормативные правовые акты, принятые Собранием депутатов по вопросам, отнесенным к его компетенции федеральными законами, законами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Еврейской автономной области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, Уставом сельского поселения.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highlight w:val="none"/>
              </w:rPr>
              <w:t xml:space="preserve">«законами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субъекта Российской Федерации»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заменить на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«законами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Еврейской автономной области»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Подпункт 6 пункта 8 статьи 25. Глава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оставление Собранию депутатов сельского поселения ежегодных отчетов о результатах своей деятельности, деятельности администрации,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и иных подведомственных ему органов местного самоуправления,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о решении вопросов, поставленных Собранием депутатов;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6) предоставление Собранию депутатов сельского поселения ежегодных отчетов о результатах своей деятельности, деятельности администрации, в том числе о решении вопросов, поставленных Собранием депутатов;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Подпункт 17 пункта 1 статьи 27. Досрочное прекращение полномочий главы сельского поселения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17) иные случаи, установленные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17) досрочное прекращение полномочий соответствующего органа местного самоуправления;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highlight w:val="none"/>
              </w:rPr>
            </w:r>
          </w:p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18) иные случаи, установленные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Добавить подпункт со смещением нумерации подпунктов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Подпункт 38 пункта 1 статьи 30. Полномочия администрации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Bdr/>
              <w:spacing/>
              <w:ind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38) организация и осуществление муниципального контроля на территории сельского поселения,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; организация и осуществление муниципального контроля </w:t>
            </w:r>
            <w:r>
              <w:rPr>
                <w:rFonts w:ascii="Times New Roman" w:hAnsi="Times New Roman"/>
                <w:bCs/>
                <w:strike/>
                <w:color w:val="ff0000"/>
                <w:sz w:val="28"/>
                <w:szCs w:val="28"/>
              </w:rPr>
              <w:t xml:space="preserve">(надзора)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полномочия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по осуществлению которого наделены органы местного самоуправления; разработка административных регламентов осуществления муниципального контроля в соответствующих сферах дея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тельности. Разработка и принятие указанных административных регламентов осуществляются в порядке, установленном нормативными правовыми актами Еврейской автономной области; организация и проведение мониторинга эффективности муниципального контроля в соответ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ствующих сферах деятельности, показатели и методика проведения которого утверждаются Правительством Российской Федерации; </w:t>
            </w:r>
            <w:r>
              <w:rPr>
                <w:rFonts w:ascii="Times New Roman" w:hAnsi="Times New Roman"/>
                <w:bCs/>
                <w:strike/>
                <w:color w:val="ff0000"/>
                <w:sz w:val="28"/>
                <w:szCs w:val="28"/>
              </w:rPr>
              <w:t xml:space="preserve">осуществление иных предусмотренных федеральными законами, законами и иными нормативными правовыми актами Еврейской автономной области;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Bdr/>
              <w:spacing/>
              <w:ind w:firstLine="0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38) организация и осуществление муниципального контроля на территории сельского поселения, 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; организация и осуществление муниципального контроля, полномочия</w:t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ми</w:t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 по осуществлению которого наделены органы местного самоуправления; разработка административных регламентов осуществления муниципального контроля в соот</w:t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ветствующих сферах деятельности; р</w:t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азработка и принятие указанных административных регламентов осуществляются в порядке, установленном нормативными правовыми актами Еврейской автономной области; </w:t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организация и проведение мониторинга эффективности муниципального контроля в соответствующих сферах деятельности, показатели и методика проведения которого утверждаются Прави</w:t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тельством Российской Федерации;</w:t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Пункт 4 статьи 32. Гарантии осуществления полномочий лица, замещающего муниципальную 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Помимо гарантий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сельского поселения, предусмотренных частью 3 настоящей статьи, председателю, заместителю председателя, аудитору контрольно-ревизионной комиссии гарантируется профессиональное развитие, в том числе получение дополнительного профессионального образования.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Возможность получения профессионального развития, в том числе получение дополнительного профессионального образования, гарантируется председателю, заместителю председателя, аудитору контрольно-ревизионной комиссии.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Пункт 8 статьи 32. Гарантии осуществления полномочий лица, замещающего муниципальную 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Оплата труда лиц, замещающих муниципальную должность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щих свои полномочия на постоянной основе, состоит из ежемесячного денежного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содержания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(вознаграждения), ежемесячных и иных дополнительных выплат, определяемых в соответствии с федеральным законодательством и законодательством Еврейской автономной области.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Оплата труда лиц, замещающих муниципальную должность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осуществляющих свои полномочия на постоянной основе, состоит из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ежемесячного денежного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вознаграждения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ежемесячных и иных дополнительных выплат, определяемых в соответствии с федеральным законодательством и законодательством Еврейской автономной области.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Абзац 2 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унк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 9 статьи 32. Гарантии осуществления полномочий лица, замещающего муниципальную 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ежегодного основного оплачиваемого отпуска один раз в год производится единовременная выплата, не превышающая двукратного размера ежемесячного денежного </w:t>
            </w:r>
            <w:r>
              <w:rPr>
                <w:rFonts w:ascii="Times New Roman" w:hAnsi="Times New Roman" w:cs="Times New Roman"/>
                <w:strike/>
                <w:color w:val="ff0000"/>
                <w:sz w:val="28"/>
                <w:szCs w:val="28"/>
              </w:rPr>
              <w:t xml:space="preserve">содержания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(вознаграждения).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ежегодного основного оплачиваемого отпуска один раз в год производится единовременная выплата, не превышающая двукратного размера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ежемесячного денежного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вознаграждения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Абзацы 1, 2 пункта 2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татьи 45. Порядок подписания и опубликования муниципальных правовых актов</w:t>
            </w: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Bdr/>
              <w:spacing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Устав, муниципальные правовые акты о внесении изменений и дополне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ний в Устав, вступают в силу после первого размещения их полного текста в сетевом издании портала Минюста России «Нормативные правовые акты в Российской Федерации» (http://pravo-minjust. ru, http://право-минюст. рф, регистрация в качестве сетевого издания: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Эл № ФС77-72471 от 05.03.2018) (далее – портал Минюста России).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1"/>
              <w:pBdr/>
              <w:spacing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Портал Минюста России является дополнительным источником официального опубликования (обнародования) муниципальных правовых актов и соглашений, заключаемых между органами местного самоуправления.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3"/>
              <w:pBdr/>
              <w:spacing w:after="0" w:afterAutospacing="0" w:before="0" w:beforeAutospacing="0" w:line="288" w:lineRule="atLeast"/>
              <w:ind w:firstLine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2. </w:t>
            </w:r>
            <w:r>
              <w:rPr>
                <w:color w:val="ff0000"/>
                <w:sz w:val="28"/>
                <w:szCs w:val="28"/>
              </w:rPr>
              <w:t xml:space="preserve">Устав сельского поселения, муниципальный правовой акт о внесении изменений и дополнений в Устав сельского поселения подлежат официальному опубликованию после их государственной регистрации и вступают в силу после их официального опубликования.</w:t>
            </w:r>
            <w:r>
              <w:rPr>
                <w:color w:val="ff0000"/>
                <w:sz w:val="28"/>
                <w:szCs w:val="28"/>
              </w:rPr>
            </w: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893"/>
              <w:pBdr/>
              <w:spacing w:after="0" w:afterAutospacing="0" w:before="0" w:beforeAutospacing="0" w:line="288" w:lineRule="atLeast"/>
              <w:ind w:firstLine="0"/>
              <w:jc w:val="both"/>
              <w:rPr>
                <w:color w:val="ff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  <w:u w:val="none"/>
              </w:rPr>
              <w:t xml:space="preserve">Для официального опубликова</w:t>
            </w:r>
            <w:r>
              <w:rPr>
                <w:color w:val="ff0000"/>
                <w:sz w:val="28"/>
                <w:szCs w:val="28"/>
                <w:u w:val="none"/>
              </w:rPr>
              <w:t xml:space="preserve">ния муниципальных правовых актов и соглашений так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же испо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льзуется портал Минюста России «Нормативные правовые акты в Российской Федерации»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 (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http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://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pravo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-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minjust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.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ru</w:t>
            </w:r>
            <w:r>
              <w:rPr>
                <w:color w:val="ff0000"/>
                <w:sz w:val="28"/>
                <w:szCs w:val="28"/>
                <w:lang w:val="undefined"/>
              </w:rPr>
              <w:t xml:space="preserve">, </w:t>
            </w:r>
            <w:hyperlink r:id="rId8" w:tooltip="../../Lupinskaya_ElG/AppData/Local/Temp/28/zakon.scli.ru" w:history="1">
              <w:r>
                <w:rPr>
                  <w:color w:val="ff0000"/>
                  <w:sz w:val="28"/>
                  <w:szCs w:val="28"/>
                  <w:lang w:val="undefined"/>
                </w:rPr>
                <w:t xml:space="preserve">http://право-минюст.рф</w:t>
              </w:r>
            </w:hyperlink>
            <w:r>
              <w:rPr>
                <w:color w:val="ff0000"/>
                <w:sz w:val="28"/>
                <w:szCs w:val="28"/>
                <w:lang w:val="undefined"/>
              </w:rPr>
              <w:t xml:space="preserve">, регистрация в качестве сетевого издания: Эл № ФС77-72471 от 05.03.2018).</w:t>
            </w:r>
            <w:r>
              <w:rPr>
                <w:color w:val="ff0000"/>
                <w:sz w:val="28"/>
                <w:szCs w:val="28"/>
                <w:lang w:val="undefined" w:bidi="undefined"/>
              </w:rPr>
            </w:r>
            <w:r>
              <w:rPr>
                <w:color w:val="ff0000"/>
                <w:sz w:val="28"/>
                <w:szCs w:val="28"/>
                <w:lang w:val="undefined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Абзац 2 пункта 6 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тьи 51. Муниципальное имущество. Владение, пользование и распоряжение муниципальным имуществом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назначает на должность и освобождает от должности руководителей данных предприятий и учреждений.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сельского поселения назначает на должность и освобождает от должности руководителей данных предприятий и учреждений.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Добавить </w:t>
            </w:r>
            <w:r>
              <w:rPr>
                <w:rFonts w:ascii="Times New Roman" w:hAnsi="Times New Roman"/>
                <w:color w:val="ff0000"/>
                <w:sz w:val="28"/>
                <w:szCs w:val="28"/>
                <w:highlight w:val="none"/>
              </w:rPr>
              <w:t xml:space="preserve">«администрации»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3"/>
            <w:tcBorders/>
            <w:tcW w:w="15704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Пункт 6 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тьи 53. Внесение изменений и дополнений в Устав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Изменения и дополнения в Устав сельского поселения вносятся муниципальным правовым актом, который может оформляться: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1"/>
              <w:pBdr/>
              <w:spacing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решением Собрания депутатов, подписанным его председателем и главой сельского поселения либо единолично главой сельского поселения, исполняющим полномочия председателя Собрания депутатов;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1"/>
              <w:pBdr/>
              <w:spacing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отдельным нормативным правовым актом, принятым Собранием депутатов и подписанным главой сельского поселен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ия. В этом случае на данном правовом акте проставляются реквизиты решения Собрания депутатов о его принятии. Включение в такое решение переходных положений и (или) норм о вступлении в силу изменений и дополнений, вносимых в Устав поселения, не допускается.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91"/>
              <w:pBdr/>
              <w:spacing/>
              <w:ind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6. Изменения и дополнения в Устав сельского поселения вносятся муниципальным правовым актом, который оформляется решением Собрания депутатов, подписанным главой сельского поселения, исполняющим полномочия председателя Собрания депутатов.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23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889"/>
        <w:pBdr/>
        <w:spacing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9"/>
        <w:pBdr/>
        <w:spacing/>
        <w:ind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889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1906" w:orient="landscape" w:w="16838"/>
      <w:pgMar w:top="1134" w:right="567" w:bottom="567" w:left="567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PT Astra Serif">
    <w:panose1 w:val="05040102010807070707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paragraph" w:styleId="891" w:customStyle="1">
    <w:name w:val="Default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PT Astra Serif" w:hAnsi="PT Astra Serif" w:eastAsia="Calibri" w:cs="PT Astra Serif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892" w:customStyle="1">
    <w:name w:val="Обычный (веб)1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3" w:customStyle="1">
    <w:name w:val="Normal (Web)"/>
    <w:uiPriority w:val="99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../../Lupinskaya_ElG/AppData/Local/Temp/28/zakon.scl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2025-11-12T22:07:55Z</dcterms:modified>
</cp:coreProperties>
</file>