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1F" w:rsidRDefault="00CD331F" w:rsidP="00D471C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F100C2" w:rsidRDefault="00F100C2" w:rsidP="00D471C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Муниципальное образование «Бирофельдское сельское поселение»</w:t>
      </w:r>
    </w:p>
    <w:p w:rsidR="00F100C2" w:rsidRDefault="00F100C2" w:rsidP="00D471C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Биробиджанского муниципального района</w:t>
      </w:r>
    </w:p>
    <w:p w:rsidR="00F100C2" w:rsidRDefault="00F100C2" w:rsidP="00D471C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Еврейской автономно области</w:t>
      </w:r>
    </w:p>
    <w:p w:rsidR="00F100C2" w:rsidRDefault="00F100C2" w:rsidP="00D471C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100C2" w:rsidRDefault="00F100C2" w:rsidP="00D471C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СЕЛЬСКОГО ПОСЕЛЕНИЯ</w:t>
      </w:r>
    </w:p>
    <w:p w:rsidR="00F100C2" w:rsidRDefault="00F100C2" w:rsidP="00D471C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100C2" w:rsidRDefault="00F100C2" w:rsidP="00D471C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F100C2" w:rsidRDefault="00F100C2" w:rsidP="00D471C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100C2" w:rsidRDefault="00F100C2" w:rsidP="00D471CD">
      <w:pPr>
        <w:jc w:val="center"/>
        <w:rPr>
          <w:b/>
          <w:sz w:val="24"/>
        </w:rPr>
      </w:pPr>
    </w:p>
    <w:p w:rsidR="00F100C2" w:rsidRDefault="00CD331F" w:rsidP="00D471CD">
      <w:r>
        <w:t xml:space="preserve">……….                                                                                                                  </w:t>
      </w:r>
      <w:r w:rsidR="00F100C2">
        <w:t>№</w:t>
      </w:r>
      <w:r w:rsidR="00D471CD">
        <w:t xml:space="preserve"> </w:t>
      </w:r>
      <w:r>
        <w:t>…</w:t>
      </w:r>
    </w:p>
    <w:p w:rsidR="00F100C2" w:rsidRDefault="00F100C2" w:rsidP="00D471CD">
      <w:pPr>
        <w:jc w:val="center"/>
        <w:outlineLvl w:val="0"/>
        <w:rPr>
          <w:bCs/>
          <w:iCs/>
        </w:rPr>
      </w:pPr>
      <w:r>
        <w:rPr>
          <w:bCs/>
          <w:iCs/>
        </w:rPr>
        <w:t>с. Бирофельд</w:t>
      </w:r>
    </w:p>
    <w:p w:rsidR="00F100C2" w:rsidRDefault="00F100C2" w:rsidP="00F100C2">
      <w:pPr>
        <w:jc w:val="center"/>
        <w:outlineLvl w:val="0"/>
        <w:rPr>
          <w:bCs/>
          <w:iCs/>
          <w:sz w:val="24"/>
        </w:rPr>
      </w:pPr>
    </w:p>
    <w:p w:rsidR="00F100C2" w:rsidRPr="00AC36C3" w:rsidRDefault="00F100C2" w:rsidP="00F100C2"/>
    <w:p w:rsidR="00F100C2" w:rsidRPr="00A46EB9" w:rsidRDefault="00F100C2" w:rsidP="00F100C2">
      <w:pPr>
        <w:spacing w:line="360" w:lineRule="auto"/>
        <w:jc w:val="both"/>
        <w:rPr>
          <w:color w:val="000000"/>
        </w:rPr>
      </w:pPr>
      <w:r>
        <w:rPr>
          <w:color w:val="000000"/>
        </w:rPr>
        <w:t>О</w:t>
      </w:r>
      <w:r w:rsidRPr="00A46EB9">
        <w:rPr>
          <w:color w:val="000000"/>
        </w:rPr>
        <w:t xml:space="preserve">б утверждении </w:t>
      </w:r>
      <w:r>
        <w:rPr>
          <w:color w:val="000000"/>
        </w:rPr>
        <w:t>стоимости услуг, предоставляемых согласно гарантированному перечню</w:t>
      </w:r>
      <w:r w:rsidRPr="00A46EB9">
        <w:rPr>
          <w:color w:val="000000"/>
        </w:rPr>
        <w:t xml:space="preserve"> услуг по погребению, </w:t>
      </w:r>
      <w:r>
        <w:rPr>
          <w:color w:val="000000"/>
        </w:rPr>
        <w:t>оказываемых специализированными службами по вопросам похоронного дела  на территории муниципального образования «Бирофельдское сельское поселение»  Биробиджанского муниципального района  Еврейской автономной области</w:t>
      </w:r>
    </w:p>
    <w:p w:rsidR="00F100C2" w:rsidRPr="00A46EB9" w:rsidRDefault="00F100C2" w:rsidP="00F100C2">
      <w:pPr>
        <w:spacing w:line="360" w:lineRule="auto"/>
        <w:jc w:val="both"/>
        <w:rPr>
          <w:color w:val="000000"/>
        </w:rPr>
      </w:pPr>
    </w:p>
    <w:p w:rsidR="00F100C2" w:rsidRPr="00A46EB9" w:rsidRDefault="00F100C2" w:rsidP="00F100C2">
      <w:pPr>
        <w:spacing w:line="360" w:lineRule="auto"/>
        <w:ind w:firstLine="708"/>
        <w:jc w:val="both"/>
        <w:rPr>
          <w:color w:val="000000"/>
        </w:rPr>
      </w:pPr>
      <w:r w:rsidRPr="00A46EB9">
        <w:rPr>
          <w:color w:val="000000"/>
        </w:rPr>
        <w:t xml:space="preserve">В соответствии с Федеральным законом от 12.01.1996 № 8-ФЗ «О </w:t>
      </w:r>
      <w:r>
        <w:rPr>
          <w:color w:val="000000"/>
        </w:rPr>
        <w:t xml:space="preserve">погребении и похоронном деле», </w:t>
      </w:r>
      <w:r w:rsidRPr="00A46EB9">
        <w:rPr>
          <w:color w:val="000000"/>
        </w:rPr>
        <w:t>Уставом муниципального образования «</w:t>
      </w:r>
      <w:r>
        <w:rPr>
          <w:color w:val="000000"/>
        </w:rPr>
        <w:t>Бирофельдское сельское поселение</w:t>
      </w:r>
      <w:r w:rsidRPr="00A46EB9">
        <w:rPr>
          <w:color w:val="000000"/>
        </w:rPr>
        <w:t xml:space="preserve">» </w:t>
      </w:r>
      <w:r>
        <w:rPr>
          <w:color w:val="000000"/>
        </w:rPr>
        <w:t xml:space="preserve">Биробиджанского муниципального района </w:t>
      </w:r>
      <w:r w:rsidRPr="00A46EB9">
        <w:rPr>
          <w:color w:val="000000"/>
        </w:rPr>
        <w:t>Еврейской автономной области</w:t>
      </w:r>
      <w:r>
        <w:rPr>
          <w:color w:val="000000"/>
        </w:rPr>
        <w:t xml:space="preserve"> и на основании распоряжения правительства Еврейской автономной области от  16.02.2022  № 36-рп «О согласовании стоимости услуг, предоставляемых согласно гарантированному перечню услуг по погребению, оказываемых специализированными службами по вопросам похоронного дела на  территориях отдельных муниципальных  образований Еврейской автономной области» администрация сельского поселения</w:t>
      </w:r>
    </w:p>
    <w:p w:rsidR="00F100C2" w:rsidRPr="00A46EB9" w:rsidRDefault="00F100C2" w:rsidP="00F100C2">
      <w:pPr>
        <w:spacing w:line="360" w:lineRule="auto"/>
        <w:ind w:firstLine="225"/>
        <w:jc w:val="both"/>
        <w:rPr>
          <w:color w:val="000000"/>
        </w:rPr>
      </w:pPr>
      <w:r w:rsidRPr="00A46EB9">
        <w:rPr>
          <w:color w:val="000000"/>
        </w:rPr>
        <w:t>ПОСТАН</w:t>
      </w:r>
      <w:r>
        <w:rPr>
          <w:color w:val="000000"/>
        </w:rPr>
        <w:t>ОВЛЯЕТ</w:t>
      </w:r>
      <w:r w:rsidRPr="00A46EB9">
        <w:rPr>
          <w:color w:val="000000"/>
        </w:rPr>
        <w:t>:</w:t>
      </w:r>
    </w:p>
    <w:p w:rsidR="00F100C2" w:rsidRPr="00A46EB9" w:rsidRDefault="00F100C2" w:rsidP="00F100C2">
      <w:pPr>
        <w:spacing w:line="360" w:lineRule="auto"/>
        <w:ind w:firstLine="708"/>
        <w:jc w:val="both"/>
        <w:rPr>
          <w:color w:val="000000"/>
        </w:rPr>
      </w:pPr>
      <w:r w:rsidRPr="00A46EB9">
        <w:rPr>
          <w:color w:val="000000"/>
        </w:rPr>
        <w:t>1. Утвердить прилагаемую ст</w:t>
      </w:r>
      <w:r>
        <w:rPr>
          <w:color w:val="000000"/>
        </w:rPr>
        <w:t xml:space="preserve">оимость </w:t>
      </w:r>
      <w:r w:rsidRPr="00A46EB9">
        <w:rPr>
          <w:color w:val="000000"/>
        </w:rPr>
        <w:t xml:space="preserve"> услуг</w:t>
      </w:r>
      <w:r>
        <w:rPr>
          <w:color w:val="000000"/>
        </w:rPr>
        <w:t>,</w:t>
      </w:r>
      <w:r w:rsidRPr="00A46EB9">
        <w:rPr>
          <w:color w:val="000000"/>
        </w:rPr>
        <w:t xml:space="preserve"> </w:t>
      </w:r>
      <w:r>
        <w:rPr>
          <w:color w:val="000000"/>
        </w:rPr>
        <w:t>предоставляемых согласно гарантированному перечню</w:t>
      </w:r>
      <w:r w:rsidRPr="00A46EB9">
        <w:rPr>
          <w:color w:val="000000"/>
        </w:rPr>
        <w:t xml:space="preserve"> услуг по погребению, </w:t>
      </w:r>
      <w:r>
        <w:rPr>
          <w:color w:val="000000"/>
        </w:rPr>
        <w:t>оказываемых специализированными службами по вопросам похоронного дела  на территории муниципального образования «Бирофельдское сельское поселение»  Биробиджанского муниципального района  Еврейской автономной области.</w:t>
      </w:r>
    </w:p>
    <w:p w:rsidR="00F100C2" w:rsidRDefault="00F100C2" w:rsidP="00F100C2">
      <w:pPr>
        <w:spacing w:line="360" w:lineRule="auto"/>
        <w:ind w:firstLine="708"/>
        <w:jc w:val="both"/>
        <w:rPr>
          <w:color w:val="000000"/>
        </w:rPr>
      </w:pPr>
      <w:r w:rsidRPr="00A46EB9">
        <w:rPr>
          <w:color w:val="000000"/>
        </w:rPr>
        <w:lastRenderedPageBreak/>
        <w:t>2.</w:t>
      </w:r>
      <w:r>
        <w:rPr>
          <w:color w:val="000000"/>
        </w:rPr>
        <w:t xml:space="preserve"> Признать утратившим силу постановление администрации сельского поселения от 24.02.2022 № 14 «О</w:t>
      </w:r>
      <w:r w:rsidRPr="00A46EB9">
        <w:rPr>
          <w:color w:val="000000"/>
        </w:rPr>
        <w:t xml:space="preserve">б утверждении </w:t>
      </w:r>
      <w:r>
        <w:rPr>
          <w:color w:val="000000"/>
        </w:rPr>
        <w:t>стоимости услуг, предоставляемых согласно гарантированному перечню</w:t>
      </w:r>
      <w:r w:rsidRPr="00A46EB9">
        <w:rPr>
          <w:color w:val="000000"/>
        </w:rPr>
        <w:t xml:space="preserve"> услуг по погребению, </w:t>
      </w:r>
      <w:r>
        <w:rPr>
          <w:color w:val="000000"/>
        </w:rPr>
        <w:t>оказываемых специализированными службами по вопросам похоронного дела  на территории муниципального образования «Бирофельдское сельское поселение»  Биробиджанского муниципального района  Еврейской автономной области»</w:t>
      </w:r>
    </w:p>
    <w:p w:rsidR="00F100C2" w:rsidRPr="00A46EB9" w:rsidRDefault="00F100C2" w:rsidP="00F100C2">
      <w:pPr>
        <w:spacing w:line="360" w:lineRule="auto"/>
        <w:ind w:firstLine="708"/>
        <w:jc w:val="both"/>
        <w:rPr>
          <w:color w:val="000000"/>
        </w:rPr>
      </w:pPr>
      <w:r w:rsidRPr="00A46EB9">
        <w:rPr>
          <w:color w:val="000000"/>
        </w:rPr>
        <w:t xml:space="preserve"> </w:t>
      </w:r>
      <w:r>
        <w:rPr>
          <w:color w:val="000000"/>
        </w:rPr>
        <w:t xml:space="preserve">3. </w:t>
      </w:r>
      <w:r w:rsidRPr="00A46EB9">
        <w:rPr>
          <w:color w:val="000000"/>
        </w:rPr>
        <w:t>Контроль за исполнением настоящего постановления оставляю за собой.</w:t>
      </w:r>
    </w:p>
    <w:p w:rsidR="00F100C2" w:rsidRPr="00A46EB9" w:rsidRDefault="00F100C2" w:rsidP="00F100C2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4</w:t>
      </w:r>
      <w:r w:rsidRPr="00A46EB9">
        <w:rPr>
          <w:color w:val="000000"/>
        </w:rPr>
        <w:t xml:space="preserve">. Опубликовать настоящее постановление в </w:t>
      </w:r>
      <w:r>
        <w:rPr>
          <w:color w:val="000000"/>
        </w:rPr>
        <w:t>Информационном Бюллетене Бирофельдского сельского поселения Биробиджанского муниципального района.</w:t>
      </w:r>
    </w:p>
    <w:p w:rsidR="00F100C2" w:rsidRDefault="00F100C2" w:rsidP="00F100C2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5</w:t>
      </w:r>
      <w:r w:rsidRPr="00A46EB9">
        <w:rPr>
          <w:color w:val="000000"/>
        </w:rPr>
        <w:t>. Настоящее постановление вступает в силу после дня его официального опубликования</w:t>
      </w:r>
      <w:r w:rsidR="00CD331F">
        <w:rPr>
          <w:color w:val="000000"/>
        </w:rPr>
        <w:t>.</w:t>
      </w:r>
    </w:p>
    <w:p w:rsidR="00CD331F" w:rsidRDefault="00CD331F" w:rsidP="00F100C2">
      <w:pPr>
        <w:spacing w:line="360" w:lineRule="auto"/>
        <w:ind w:firstLine="708"/>
        <w:jc w:val="both"/>
        <w:rPr>
          <w:color w:val="000000"/>
        </w:rPr>
      </w:pPr>
    </w:p>
    <w:p w:rsidR="00CD331F" w:rsidRDefault="00CD331F" w:rsidP="00F100C2">
      <w:pPr>
        <w:spacing w:line="360" w:lineRule="auto"/>
        <w:ind w:firstLine="708"/>
        <w:jc w:val="both"/>
        <w:rPr>
          <w:color w:val="000000"/>
        </w:rPr>
      </w:pPr>
    </w:p>
    <w:p w:rsidR="00CD331F" w:rsidRDefault="00CD331F" w:rsidP="00F100C2">
      <w:pPr>
        <w:spacing w:line="360" w:lineRule="auto"/>
        <w:ind w:firstLine="708"/>
        <w:jc w:val="both"/>
        <w:rPr>
          <w:color w:val="000000"/>
        </w:rPr>
      </w:pPr>
    </w:p>
    <w:p w:rsidR="00CD331F" w:rsidRDefault="00CD331F" w:rsidP="00F100C2">
      <w:pPr>
        <w:spacing w:line="360" w:lineRule="auto"/>
        <w:ind w:firstLine="708"/>
        <w:jc w:val="both"/>
        <w:rPr>
          <w:color w:val="000000"/>
        </w:rPr>
      </w:pPr>
    </w:p>
    <w:p w:rsidR="00F100C2" w:rsidRDefault="00F100C2" w:rsidP="00F100C2">
      <w:pPr>
        <w:spacing w:line="360" w:lineRule="auto"/>
        <w:ind w:firstLine="708"/>
        <w:jc w:val="both"/>
        <w:rPr>
          <w:color w:val="000000"/>
        </w:rPr>
      </w:pPr>
    </w:p>
    <w:p w:rsidR="00CD331F" w:rsidRDefault="00CD331F" w:rsidP="00F100C2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Глава администрации </w:t>
      </w:r>
    </w:p>
    <w:p w:rsidR="00F100C2" w:rsidRDefault="00CD331F" w:rsidP="00F100C2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сельского поселения</w:t>
      </w:r>
      <w:r w:rsidR="00F100C2">
        <w:rPr>
          <w:color w:val="000000"/>
        </w:rPr>
        <w:t xml:space="preserve">     </w:t>
      </w:r>
      <w:r>
        <w:rPr>
          <w:color w:val="000000"/>
        </w:rPr>
        <w:t xml:space="preserve">                                               А.Ю. Вилков-Дымочко</w:t>
      </w:r>
      <w:r w:rsidR="00F100C2">
        <w:rPr>
          <w:color w:val="000000"/>
        </w:rPr>
        <w:t xml:space="preserve">                                                        </w:t>
      </w:r>
    </w:p>
    <w:p w:rsidR="00F100C2" w:rsidRDefault="00F100C2" w:rsidP="00F100C2">
      <w:pPr>
        <w:ind w:firstLine="225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</w:t>
      </w:r>
    </w:p>
    <w:p w:rsidR="00F100C2" w:rsidRDefault="00F100C2" w:rsidP="00F100C2">
      <w:pPr>
        <w:ind w:firstLine="225"/>
        <w:jc w:val="center"/>
        <w:rPr>
          <w:color w:val="000000"/>
        </w:rPr>
      </w:pPr>
    </w:p>
    <w:p w:rsidR="00F100C2" w:rsidRDefault="00F100C2" w:rsidP="00F100C2">
      <w:pPr>
        <w:ind w:firstLine="225"/>
        <w:jc w:val="center"/>
        <w:rPr>
          <w:color w:val="000000"/>
        </w:rPr>
      </w:pPr>
    </w:p>
    <w:p w:rsidR="00F100C2" w:rsidRDefault="00F100C2" w:rsidP="00F100C2">
      <w:pPr>
        <w:ind w:firstLine="225"/>
        <w:jc w:val="center"/>
        <w:rPr>
          <w:color w:val="000000"/>
        </w:rPr>
      </w:pPr>
    </w:p>
    <w:p w:rsidR="00F100C2" w:rsidRDefault="00F100C2" w:rsidP="00F100C2">
      <w:pPr>
        <w:ind w:firstLine="225"/>
        <w:jc w:val="center"/>
        <w:rPr>
          <w:color w:val="000000"/>
        </w:rPr>
      </w:pPr>
    </w:p>
    <w:p w:rsidR="00F100C2" w:rsidRDefault="00F100C2" w:rsidP="00F100C2">
      <w:pPr>
        <w:ind w:firstLine="225"/>
        <w:jc w:val="center"/>
        <w:rPr>
          <w:color w:val="000000"/>
        </w:rPr>
      </w:pPr>
    </w:p>
    <w:p w:rsidR="00F100C2" w:rsidRDefault="00F100C2" w:rsidP="00F100C2">
      <w:pPr>
        <w:ind w:firstLine="225"/>
        <w:jc w:val="center"/>
        <w:rPr>
          <w:color w:val="000000"/>
        </w:rPr>
      </w:pPr>
    </w:p>
    <w:p w:rsidR="00F100C2" w:rsidRDefault="00F100C2" w:rsidP="00F100C2">
      <w:pPr>
        <w:ind w:firstLine="225"/>
        <w:jc w:val="center"/>
        <w:rPr>
          <w:color w:val="000000"/>
        </w:rPr>
      </w:pPr>
    </w:p>
    <w:p w:rsidR="00F100C2" w:rsidRDefault="00F100C2" w:rsidP="00F100C2">
      <w:pPr>
        <w:ind w:firstLine="225"/>
        <w:jc w:val="center"/>
        <w:rPr>
          <w:color w:val="000000"/>
        </w:rPr>
      </w:pPr>
    </w:p>
    <w:p w:rsidR="00F100C2" w:rsidRDefault="00F100C2" w:rsidP="00F100C2">
      <w:pPr>
        <w:ind w:firstLine="225"/>
        <w:jc w:val="center"/>
        <w:rPr>
          <w:color w:val="000000"/>
        </w:rPr>
      </w:pPr>
    </w:p>
    <w:p w:rsidR="00F100C2" w:rsidRDefault="00F100C2" w:rsidP="00F100C2">
      <w:pPr>
        <w:ind w:firstLine="225"/>
        <w:jc w:val="center"/>
        <w:rPr>
          <w:color w:val="000000"/>
        </w:rPr>
      </w:pPr>
    </w:p>
    <w:p w:rsidR="00F100C2" w:rsidRDefault="00F100C2" w:rsidP="00F100C2">
      <w:pPr>
        <w:ind w:firstLine="225"/>
        <w:jc w:val="center"/>
        <w:rPr>
          <w:color w:val="000000"/>
        </w:rPr>
      </w:pPr>
    </w:p>
    <w:p w:rsidR="00CD331F" w:rsidRDefault="00CD331F" w:rsidP="00F100C2">
      <w:pPr>
        <w:ind w:firstLine="225"/>
        <w:jc w:val="center"/>
        <w:rPr>
          <w:color w:val="000000"/>
        </w:rPr>
      </w:pPr>
    </w:p>
    <w:p w:rsidR="00F100C2" w:rsidRDefault="00F100C2" w:rsidP="00F100C2">
      <w:pPr>
        <w:ind w:firstLine="225"/>
        <w:jc w:val="center"/>
        <w:rPr>
          <w:color w:val="000000"/>
        </w:rPr>
      </w:pPr>
    </w:p>
    <w:p w:rsidR="00CD331F" w:rsidRDefault="00CD331F" w:rsidP="00F100C2">
      <w:pPr>
        <w:ind w:firstLine="225"/>
        <w:jc w:val="center"/>
        <w:rPr>
          <w:color w:val="000000"/>
        </w:rPr>
      </w:pPr>
    </w:p>
    <w:p w:rsidR="00F100C2" w:rsidRDefault="00F100C2" w:rsidP="00F100C2">
      <w:pPr>
        <w:ind w:firstLine="225"/>
        <w:jc w:val="center"/>
        <w:rPr>
          <w:color w:val="000000"/>
        </w:rPr>
      </w:pPr>
    </w:p>
    <w:p w:rsidR="00F100C2" w:rsidRDefault="00CD331F" w:rsidP="00CD331F">
      <w:pPr>
        <w:ind w:firstLine="225"/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</w:t>
      </w:r>
      <w:r w:rsidR="00F100C2">
        <w:rPr>
          <w:color w:val="000000"/>
        </w:rPr>
        <w:t>Приложение № 1</w:t>
      </w:r>
    </w:p>
    <w:p w:rsidR="00F100C2" w:rsidRDefault="00D471CD" w:rsidP="00D471CD">
      <w:pPr>
        <w:ind w:firstLine="225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</w:t>
      </w:r>
      <w:r w:rsidR="00CD331F">
        <w:rPr>
          <w:color w:val="000000"/>
        </w:rPr>
        <w:t xml:space="preserve">                           </w:t>
      </w:r>
      <w:r>
        <w:rPr>
          <w:color w:val="000000"/>
        </w:rPr>
        <w:t xml:space="preserve"> </w:t>
      </w:r>
      <w:r w:rsidR="00F100C2">
        <w:rPr>
          <w:color w:val="000000"/>
        </w:rPr>
        <w:t xml:space="preserve">К постановлению администрации </w:t>
      </w:r>
    </w:p>
    <w:p w:rsidR="00F100C2" w:rsidRPr="00A46EB9" w:rsidRDefault="00F100C2" w:rsidP="00F100C2">
      <w:pPr>
        <w:ind w:firstLine="225"/>
        <w:jc w:val="center"/>
        <w:rPr>
          <w:color w:val="000000"/>
        </w:rPr>
      </w:pPr>
      <w:r>
        <w:rPr>
          <w:color w:val="000000"/>
        </w:rPr>
        <w:t xml:space="preserve">                                          </w:t>
      </w:r>
      <w:r w:rsidR="00D471CD">
        <w:rPr>
          <w:color w:val="000000"/>
        </w:rPr>
        <w:t xml:space="preserve">                  </w:t>
      </w:r>
      <w:r w:rsidR="00CD331F">
        <w:rPr>
          <w:color w:val="000000"/>
        </w:rPr>
        <w:t xml:space="preserve">    </w:t>
      </w:r>
      <w:r w:rsidR="00D471CD">
        <w:rPr>
          <w:color w:val="000000"/>
        </w:rPr>
        <w:t xml:space="preserve">  </w:t>
      </w:r>
      <w:r w:rsidR="00CD331F">
        <w:rPr>
          <w:color w:val="000000"/>
        </w:rPr>
        <w:t xml:space="preserve">сельского поселения </w:t>
      </w:r>
      <w:proofErr w:type="gramStart"/>
      <w:r w:rsidR="00CD331F">
        <w:rPr>
          <w:color w:val="000000"/>
        </w:rPr>
        <w:t>от</w:t>
      </w:r>
      <w:proofErr w:type="gramEnd"/>
      <w:r w:rsidR="00CD331F">
        <w:rPr>
          <w:color w:val="000000"/>
        </w:rPr>
        <w:t xml:space="preserve"> ______ </w:t>
      </w:r>
      <w:r>
        <w:rPr>
          <w:color w:val="000000"/>
        </w:rPr>
        <w:t xml:space="preserve">№ </w:t>
      </w:r>
      <w:r w:rsidR="00CD331F">
        <w:rPr>
          <w:color w:val="000000"/>
        </w:rPr>
        <w:t>___</w:t>
      </w:r>
    </w:p>
    <w:p w:rsidR="00F100C2" w:rsidRDefault="00F100C2" w:rsidP="00F100C2">
      <w:pPr>
        <w:ind w:firstLine="225"/>
        <w:jc w:val="center"/>
        <w:rPr>
          <w:color w:val="000000"/>
        </w:rPr>
      </w:pPr>
      <w:r w:rsidRPr="00A46EB9">
        <w:rPr>
          <w:color w:val="000000"/>
        </w:rPr>
        <w:t xml:space="preserve">                              </w:t>
      </w:r>
    </w:p>
    <w:p w:rsidR="00CD331F" w:rsidRPr="00F93C2F" w:rsidRDefault="00CD331F" w:rsidP="00CD331F">
      <w:pPr>
        <w:autoSpaceDE w:val="0"/>
        <w:autoSpaceDN w:val="0"/>
        <w:adjustRightInd w:val="0"/>
        <w:jc w:val="both"/>
      </w:pPr>
    </w:p>
    <w:p w:rsidR="00CD331F" w:rsidRPr="00D97F4E" w:rsidRDefault="00CD331F" w:rsidP="00CD331F">
      <w:pPr>
        <w:autoSpaceDE w:val="0"/>
        <w:autoSpaceDN w:val="0"/>
        <w:adjustRightInd w:val="0"/>
        <w:jc w:val="center"/>
      </w:pPr>
      <w:r w:rsidRPr="00D97F4E">
        <w:t>Стоимость услуг,</w:t>
      </w:r>
    </w:p>
    <w:p w:rsidR="00CD331F" w:rsidRPr="00D97F4E" w:rsidRDefault="00CD331F" w:rsidP="00CD331F">
      <w:pPr>
        <w:autoSpaceDE w:val="0"/>
        <w:autoSpaceDN w:val="0"/>
        <w:adjustRightInd w:val="0"/>
        <w:jc w:val="center"/>
      </w:pPr>
      <w:r w:rsidRPr="00D97F4E">
        <w:t>предоставляемых согласно гарантированному перечню услуг по погребению, оказываемых специализированными службами по вопросам</w:t>
      </w:r>
    </w:p>
    <w:p w:rsidR="00CD331F" w:rsidRPr="00D97F4E" w:rsidRDefault="00CD331F" w:rsidP="00CD331F">
      <w:pPr>
        <w:autoSpaceDE w:val="0"/>
        <w:autoSpaceDN w:val="0"/>
        <w:adjustRightInd w:val="0"/>
        <w:jc w:val="center"/>
      </w:pPr>
      <w:r w:rsidRPr="00D97F4E">
        <w:t>похоронного дела на территории муниципального образования</w:t>
      </w:r>
    </w:p>
    <w:p w:rsidR="00CD331F" w:rsidRPr="00F93C2F" w:rsidRDefault="00CD331F" w:rsidP="00CD331F">
      <w:pPr>
        <w:autoSpaceDE w:val="0"/>
        <w:autoSpaceDN w:val="0"/>
        <w:adjustRightInd w:val="0"/>
        <w:jc w:val="center"/>
      </w:pPr>
      <w:r w:rsidRPr="00D97F4E">
        <w:t>«Бирофельдское сельское поселение» Биробиджанского муниципального района Еврейской автономной области</w:t>
      </w:r>
    </w:p>
    <w:p w:rsidR="00CD331F" w:rsidRPr="00F93C2F" w:rsidRDefault="00CD331F" w:rsidP="00CD331F">
      <w:pPr>
        <w:autoSpaceDE w:val="0"/>
        <w:autoSpaceDN w:val="0"/>
        <w:adjustRightInd w:val="0"/>
        <w:jc w:val="both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5601"/>
        <w:gridCol w:w="3085"/>
      </w:tblGrid>
      <w:tr w:rsidR="00CD331F" w:rsidRPr="00CD331F" w:rsidTr="00D94923">
        <w:trPr>
          <w:trHeight w:val="689"/>
        </w:trPr>
        <w:tc>
          <w:tcPr>
            <w:tcW w:w="620" w:type="dxa"/>
          </w:tcPr>
          <w:p w:rsidR="00CD331F" w:rsidRPr="00CD331F" w:rsidRDefault="00CD331F" w:rsidP="00D9492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CD331F">
              <w:rPr>
                <w:rFonts w:asciiTheme="majorHAnsi" w:hAnsiTheme="majorHAnsi" w:cstheme="majorHAnsi"/>
              </w:rPr>
              <w:t xml:space="preserve">№ </w:t>
            </w:r>
            <w:proofErr w:type="spellStart"/>
            <w:proofErr w:type="gramStart"/>
            <w:r w:rsidRPr="00CD331F">
              <w:rPr>
                <w:rFonts w:asciiTheme="majorHAnsi" w:hAnsiTheme="majorHAnsi" w:cstheme="majorHAnsi"/>
              </w:rPr>
              <w:t>п</w:t>
            </w:r>
            <w:proofErr w:type="spellEnd"/>
            <w:proofErr w:type="gramEnd"/>
            <w:r w:rsidRPr="00CD331F">
              <w:rPr>
                <w:rFonts w:asciiTheme="majorHAnsi" w:hAnsiTheme="majorHAnsi" w:cstheme="majorHAnsi"/>
              </w:rPr>
              <w:t>/</w:t>
            </w:r>
            <w:proofErr w:type="spellStart"/>
            <w:r w:rsidRPr="00CD331F">
              <w:rPr>
                <w:rFonts w:asciiTheme="majorHAnsi" w:hAnsiTheme="majorHAnsi" w:cstheme="majorHAnsi"/>
              </w:rPr>
              <w:t>п</w:t>
            </w:r>
            <w:proofErr w:type="spellEnd"/>
          </w:p>
        </w:tc>
        <w:tc>
          <w:tcPr>
            <w:tcW w:w="5612" w:type="dxa"/>
          </w:tcPr>
          <w:p w:rsidR="00CD331F" w:rsidRPr="00CD331F" w:rsidRDefault="00CD331F" w:rsidP="00D9492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CD331F">
              <w:rPr>
                <w:rFonts w:asciiTheme="majorHAnsi" w:hAnsiTheme="majorHAnsi" w:cstheme="majorHAnsi"/>
              </w:rPr>
              <w:t>Перечень услуг</w:t>
            </w:r>
          </w:p>
        </w:tc>
        <w:tc>
          <w:tcPr>
            <w:tcW w:w="3090" w:type="dxa"/>
          </w:tcPr>
          <w:p w:rsidR="00CD331F" w:rsidRPr="00CD331F" w:rsidRDefault="00CD331F" w:rsidP="00D9492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CD331F">
              <w:rPr>
                <w:rFonts w:asciiTheme="majorHAnsi" w:hAnsiTheme="majorHAnsi" w:cstheme="majorHAnsi"/>
              </w:rPr>
              <w:t>Стоимость услуг (руб.)</w:t>
            </w:r>
          </w:p>
          <w:p w:rsidR="00CD331F" w:rsidRPr="00CD331F" w:rsidRDefault="00CD331F" w:rsidP="00D9492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CD331F" w:rsidRPr="00CD331F" w:rsidTr="00D94923">
        <w:tc>
          <w:tcPr>
            <w:tcW w:w="620" w:type="dxa"/>
          </w:tcPr>
          <w:p w:rsidR="00CD331F" w:rsidRPr="00CD331F" w:rsidRDefault="00CD331F" w:rsidP="00D9492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CD331F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5612" w:type="dxa"/>
          </w:tcPr>
          <w:p w:rsidR="00CD331F" w:rsidRPr="00CD331F" w:rsidRDefault="00CD331F" w:rsidP="00D9492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CD331F">
              <w:rPr>
                <w:rFonts w:asciiTheme="majorHAnsi" w:hAnsiTheme="majorHAnsi" w:cstheme="majorHAnsi"/>
              </w:rPr>
              <w:t>Оформление документов, необходимых для погребения</w:t>
            </w:r>
          </w:p>
        </w:tc>
        <w:tc>
          <w:tcPr>
            <w:tcW w:w="3090" w:type="dxa"/>
          </w:tcPr>
          <w:p w:rsidR="00CD331F" w:rsidRPr="00CD331F" w:rsidRDefault="00CD331F" w:rsidP="00D9492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CD331F">
              <w:rPr>
                <w:rFonts w:asciiTheme="majorHAnsi" w:hAnsiTheme="majorHAnsi" w:cstheme="majorHAnsi"/>
              </w:rPr>
              <w:t>-</w:t>
            </w:r>
          </w:p>
        </w:tc>
      </w:tr>
      <w:tr w:rsidR="00CD331F" w:rsidRPr="00CD331F" w:rsidTr="00D94923">
        <w:tc>
          <w:tcPr>
            <w:tcW w:w="620" w:type="dxa"/>
          </w:tcPr>
          <w:p w:rsidR="00CD331F" w:rsidRPr="00CD331F" w:rsidRDefault="00CD331F" w:rsidP="00D9492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CD331F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5612" w:type="dxa"/>
          </w:tcPr>
          <w:p w:rsidR="00CD331F" w:rsidRPr="00CD331F" w:rsidRDefault="00CD331F" w:rsidP="00D9492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CD331F">
              <w:rPr>
                <w:rFonts w:asciiTheme="majorHAnsi" w:hAnsiTheme="majorHAnsi" w:cstheme="majorHAnsi"/>
              </w:rPr>
              <w:t>Предоставление и доставка гроба и других предметов, необходимых для погребения:</w:t>
            </w:r>
          </w:p>
        </w:tc>
        <w:tc>
          <w:tcPr>
            <w:tcW w:w="3090" w:type="dxa"/>
            <w:vAlign w:val="center"/>
          </w:tcPr>
          <w:p w:rsidR="00CD331F" w:rsidRPr="00CD331F" w:rsidRDefault="00CD331F" w:rsidP="00D9492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CD331F">
              <w:rPr>
                <w:rFonts w:asciiTheme="majorHAnsi" w:hAnsiTheme="majorHAnsi" w:cstheme="majorHAnsi"/>
                <w:color w:val="000000"/>
              </w:rPr>
              <w:t>3353,38</w:t>
            </w:r>
          </w:p>
        </w:tc>
      </w:tr>
      <w:tr w:rsidR="00CD331F" w:rsidRPr="00CD331F" w:rsidTr="00D94923">
        <w:tc>
          <w:tcPr>
            <w:tcW w:w="620" w:type="dxa"/>
          </w:tcPr>
          <w:p w:rsidR="00CD331F" w:rsidRPr="00CD331F" w:rsidRDefault="00CD331F" w:rsidP="00D9492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CD331F">
              <w:rPr>
                <w:rFonts w:asciiTheme="majorHAnsi" w:hAnsiTheme="majorHAnsi" w:cstheme="majorHAnsi"/>
              </w:rPr>
              <w:t>2.1.</w:t>
            </w:r>
          </w:p>
        </w:tc>
        <w:tc>
          <w:tcPr>
            <w:tcW w:w="5612" w:type="dxa"/>
          </w:tcPr>
          <w:p w:rsidR="00CD331F" w:rsidRPr="00CD331F" w:rsidRDefault="00CD331F" w:rsidP="00D9492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CD331F">
              <w:rPr>
                <w:rFonts w:asciiTheme="majorHAnsi" w:hAnsiTheme="majorHAnsi" w:cstheme="majorHAnsi"/>
              </w:rPr>
              <w:t>Гроб необитый</w:t>
            </w:r>
          </w:p>
        </w:tc>
        <w:tc>
          <w:tcPr>
            <w:tcW w:w="3090" w:type="dxa"/>
            <w:vAlign w:val="center"/>
          </w:tcPr>
          <w:p w:rsidR="00CD331F" w:rsidRPr="00CD331F" w:rsidRDefault="00CD331F" w:rsidP="00D9492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CD331F">
              <w:rPr>
                <w:rFonts w:asciiTheme="majorHAnsi" w:hAnsiTheme="majorHAnsi" w:cstheme="majorHAnsi"/>
                <w:color w:val="000000"/>
              </w:rPr>
              <w:t>2740,46</w:t>
            </w:r>
          </w:p>
        </w:tc>
      </w:tr>
      <w:tr w:rsidR="00CD331F" w:rsidRPr="00CD331F" w:rsidTr="00D94923">
        <w:tc>
          <w:tcPr>
            <w:tcW w:w="620" w:type="dxa"/>
          </w:tcPr>
          <w:p w:rsidR="00CD331F" w:rsidRPr="00CD331F" w:rsidRDefault="00CD331F" w:rsidP="00D9492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CD331F">
              <w:rPr>
                <w:rFonts w:asciiTheme="majorHAnsi" w:hAnsiTheme="majorHAnsi" w:cstheme="majorHAnsi"/>
              </w:rPr>
              <w:t>2.2.</w:t>
            </w:r>
          </w:p>
        </w:tc>
        <w:tc>
          <w:tcPr>
            <w:tcW w:w="5612" w:type="dxa"/>
          </w:tcPr>
          <w:p w:rsidR="00CD331F" w:rsidRPr="00CD331F" w:rsidRDefault="00CD331F" w:rsidP="00D9492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CD331F">
              <w:rPr>
                <w:rFonts w:asciiTheme="majorHAnsi" w:hAnsiTheme="majorHAnsi" w:cstheme="majorHAnsi"/>
              </w:rPr>
              <w:t>Доставка гроба в морг и других предметов, необходимых для погребения</w:t>
            </w:r>
          </w:p>
        </w:tc>
        <w:tc>
          <w:tcPr>
            <w:tcW w:w="3090" w:type="dxa"/>
            <w:vAlign w:val="center"/>
          </w:tcPr>
          <w:p w:rsidR="00CD331F" w:rsidRPr="00CD331F" w:rsidRDefault="00CD331F" w:rsidP="00D9492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CD331F">
              <w:rPr>
                <w:rFonts w:asciiTheme="majorHAnsi" w:hAnsiTheme="majorHAnsi" w:cstheme="majorHAnsi"/>
                <w:color w:val="000000"/>
              </w:rPr>
              <w:t>612,92</w:t>
            </w:r>
          </w:p>
        </w:tc>
      </w:tr>
      <w:tr w:rsidR="00CD331F" w:rsidRPr="00CD331F" w:rsidTr="00D94923">
        <w:tc>
          <w:tcPr>
            <w:tcW w:w="620" w:type="dxa"/>
          </w:tcPr>
          <w:p w:rsidR="00CD331F" w:rsidRPr="00CD331F" w:rsidRDefault="00CD331F" w:rsidP="00D9492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CD331F">
              <w:rPr>
                <w:rFonts w:asciiTheme="majorHAnsi" w:hAnsiTheme="majorHAnsi" w:cstheme="majorHAnsi"/>
              </w:rPr>
              <w:t>2.3.</w:t>
            </w:r>
          </w:p>
        </w:tc>
        <w:tc>
          <w:tcPr>
            <w:tcW w:w="5612" w:type="dxa"/>
          </w:tcPr>
          <w:p w:rsidR="00CD331F" w:rsidRPr="00CD331F" w:rsidRDefault="00CD331F" w:rsidP="00D9492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CD331F">
              <w:rPr>
                <w:rFonts w:asciiTheme="majorHAnsi" w:hAnsiTheme="majorHAnsi" w:cstheme="majorHAnsi"/>
              </w:rPr>
              <w:t>Укладка тела в гроб</w:t>
            </w:r>
          </w:p>
        </w:tc>
        <w:tc>
          <w:tcPr>
            <w:tcW w:w="3090" w:type="dxa"/>
          </w:tcPr>
          <w:p w:rsidR="00CD331F" w:rsidRPr="00CD331F" w:rsidRDefault="00CD331F" w:rsidP="00D9492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CD331F">
              <w:rPr>
                <w:rFonts w:asciiTheme="majorHAnsi" w:hAnsiTheme="majorHAnsi" w:cstheme="majorHAnsi"/>
                <w:color w:val="000000"/>
              </w:rPr>
              <w:t>-</w:t>
            </w:r>
          </w:p>
        </w:tc>
      </w:tr>
      <w:tr w:rsidR="00CD331F" w:rsidRPr="00CD331F" w:rsidTr="00D94923">
        <w:tc>
          <w:tcPr>
            <w:tcW w:w="620" w:type="dxa"/>
          </w:tcPr>
          <w:p w:rsidR="00CD331F" w:rsidRPr="00CD331F" w:rsidRDefault="00CD331F" w:rsidP="00D9492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CD331F">
              <w:rPr>
                <w:rFonts w:asciiTheme="majorHAnsi" w:hAnsiTheme="majorHAnsi" w:cstheme="majorHAnsi"/>
              </w:rPr>
              <w:t>2.4.</w:t>
            </w:r>
          </w:p>
        </w:tc>
        <w:tc>
          <w:tcPr>
            <w:tcW w:w="5612" w:type="dxa"/>
          </w:tcPr>
          <w:p w:rsidR="00CD331F" w:rsidRPr="00CD331F" w:rsidRDefault="00CD331F" w:rsidP="00D9492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CD331F">
              <w:rPr>
                <w:rFonts w:asciiTheme="majorHAnsi" w:hAnsiTheme="majorHAnsi" w:cstheme="majorHAnsi"/>
              </w:rPr>
              <w:t>Ткань на облачение тела</w:t>
            </w:r>
          </w:p>
        </w:tc>
        <w:tc>
          <w:tcPr>
            <w:tcW w:w="3090" w:type="dxa"/>
            <w:vAlign w:val="center"/>
          </w:tcPr>
          <w:p w:rsidR="00CD331F" w:rsidRPr="00CD331F" w:rsidRDefault="00CD331F" w:rsidP="00D9492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CD331F">
              <w:rPr>
                <w:rFonts w:asciiTheme="majorHAnsi" w:hAnsiTheme="majorHAnsi" w:cstheme="majorHAnsi"/>
                <w:color w:val="000000"/>
              </w:rPr>
              <w:t>104,25</w:t>
            </w:r>
          </w:p>
        </w:tc>
      </w:tr>
      <w:tr w:rsidR="00CD331F" w:rsidRPr="00CD331F" w:rsidTr="00D94923">
        <w:tc>
          <w:tcPr>
            <w:tcW w:w="620" w:type="dxa"/>
          </w:tcPr>
          <w:p w:rsidR="00CD331F" w:rsidRPr="00CD331F" w:rsidRDefault="00CD331F" w:rsidP="00D9492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CD331F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5612" w:type="dxa"/>
          </w:tcPr>
          <w:p w:rsidR="00CD331F" w:rsidRPr="00CD331F" w:rsidRDefault="00CD331F" w:rsidP="00D9492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CD331F">
              <w:rPr>
                <w:rFonts w:asciiTheme="majorHAnsi" w:hAnsiTheme="majorHAnsi" w:cstheme="majorHAnsi"/>
              </w:rPr>
              <w:t>Перевозка тела (останков) умершего на кладбище:</w:t>
            </w:r>
          </w:p>
        </w:tc>
        <w:tc>
          <w:tcPr>
            <w:tcW w:w="3090" w:type="dxa"/>
            <w:vAlign w:val="center"/>
          </w:tcPr>
          <w:p w:rsidR="00CD331F" w:rsidRPr="00CD331F" w:rsidRDefault="00CD331F" w:rsidP="00D9492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CD331F">
              <w:rPr>
                <w:rFonts w:asciiTheme="majorHAnsi" w:hAnsiTheme="majorHAnsi" w:cstheme="majorHAnsi"/>
                <w:color w:val="000000"/>
              </w:rPr>
              <w:t>104,25</w:t>
            </w:r>
          </w:p>
        </w:tc>
      </w:tr>
      <w:tr w:rsidR="00CD331F" w:rsidRPr="00CD331F" w:rsidTr="00D94923">
        <w:tc>
          <w:tcPr>
            <w:tcW w:w="620" w:type="dxa"/>
          </w:tcPr>
          <w:p w:rsidR="00CD331F" w:rsidRPr="00CD331F" w:rsidRDefault="00CD331F" w:rsidP="00D9492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CD331F">
              <w:rPr>
                <w:rFonts w:asciiTheme="majorHAnsi" w:hAnsiTheme="majorHAnsi" w:cstheme="majorHAnsi"/>
              </w:rPr>
              <w:t>3.1.</w:t>
            </w:r>
          </w:p>
        </w:tc>
        <w:tc>
          <w:tcPr>
            <w:tcW w:w="5612" w:type="dxa"/>
          </w:tcPr>
          <w:p w:rsidR="00CD331F" w:rsidRPr="00CD331F" w:rsidRDefault="00CD331F" w:rsidP="00D9492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CD331F">
              <w:rPr>
                <w:rFonts w:asciiTheme="majorHAnsi" w:hAnsiTheme="majorHAnsi" w:cstheme="majorHAnsi"/>
              </w:rPr>
              <w:t>Вынос гроба с телом из морга и доставка к месту захоронения</w:t>
            </w:r>
          </w:p>
        </w:tc>
        <w:tc>
          <w:tcPr>
            <w:tcW w:w="3090" w:type="dxa"/>
            <w:vAlign w:val="center"/>
          </w:tcPr>
          <w:p w:rsidR="00CD331F" w:rsidRPr="00CD331F" w:rsidRDefault="00CD331F" w:rsidP="00D9492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CD331F">
              <w:rPr>
                <w:rFonts w:asciiTheme="majorHAnsi" w:hAnsiTheme="majorHAnsi" w:cstheme="majorHAnsi"/>
                <w:color w:val="000000"/>
              </w:rPr>
              <w:t>2107,90</w:t>
            </w:r>
          </w:p>
        </w:tc>
      </w:tr>
      <w:tr w:rsidR="00CD331F" w:rsidRPr="00CD331F" w:rsidTr="00D94923">
        <w:tc>
          <w:tcPr>
            <w:tcW w:w="620" w:type="dxa"/>
          </w:tcPr>
          <w:p w:rsidR="00CD331F" w:rsidRPr="00CD331F" w:rsidRDefault="00CD331F" w:rsidP="00D9492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CD331F">
              <w:rPr>
                <w:rFonts w:asciiTheme="majorHAnsi" w:hAnsiTheme="majorHAnsi" w:cstheme="majorHAnsi"/>
              </w:rPr>
              <w:t>3.2.</w:t>
            </w:r>
          </w:p>
        </w:tc>
        <w:tc>
          <w:tcPr>
            <w:tcW w:w="5612" w:type="dxa"/>
          </w:tcPr>
          <w:p w:rsidR="00CD331F" w:rsidRPr="00CD331F" w:rsidRDefault="00CD331F" w:rsidP="00D9492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CD331F">
              <w:rPr>
                <w:rFonts w:asciiTheme="majorHAnsi" w:hAnsiTheme="majorHAnsi" w:cstheme="majorHAnsi"/>
              </w:rPr>
              <w:t>Работа катафалка (35 минут)</w:t>
            </w:r>
          </w:p>
        </w:tc>
        <w:tc>
          <w:tcPr>
            <w:tcW w:w="3090" w:type="dxa"/>
            <w:vAlign w:val="center"/>
          </w:tcPr>
          <w:p w:rsidR="00CD331F" w:rsidRPr="00CD331F" w:rsidRDefault="00CD331F" w:rsidP="00D9492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CD331F">
              <w:rPr>
                <w:rFonts w:asciiTheme="majorHAnsi" w:hAnsiTheme="majorHAnsi" w:cstheme="majorHAnsi"/>
                <w:color w:val="000000"/>
              </w:rPr>
              <w:t>1300,92</w:t>
            </w:r>
          </w:p>
        </w:tc>
      </w:tr>
      <w:tr w:rsidR="00CD331F" w:rsidRPr="00CD331F" w:rsidTr="00D94923">
        <w:tc>
          <w:tcPr>
            <w:tcW w:w="620" w:type="dxa"/>
          </w:tcPr>
          <w:p w:rsidR="00CD331F" w:rsidRPr="00CD331F" w:rsidRDefault="00CD331F" w:rsidP="00D9492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CD331F"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5612" w:type="dxa"/>
          </w:tcPr>
          <w:p w:rsidR="00CD331F" w:rsidRPr="00CD331F" w:rsidRDefault="00CD331F" w:rsidP="00D9492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CD331F">
              <w:rPr>
                <w:rFonts w:asciiTheme="majorHAnsi" w:hAnsiTheme="majorHAnsi" w:cstheme="majorHAnsi"/>
              </w:rPr>
              <w:t>Погребение:</w:t>
            </w:r>
          </w:p>
        </w:tc>
        <w:tc>
          <w:tcPr>
            <w:tcW w:w="3090" w:type="dxa"/>
            <w:vAlign w:val="center"/>
          </w:tcPr>
          <w:p w:rsidR="00CD331F" w:rsidRPr="00CD331F" w:rsidRDefault="00CD331F" w:rsidP="00D9492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CD331F">
              <w:rPr>
                <w:rFonts w:asciiTheme="majorHAnsi" w:hAnsiTheme="majorHAnsi" w:cstheme="majorHAnsi"/>
                <w:color w:val="000000"/>
              </w:rPr>
              <w:t>806,98</w:t>
            </w:r>
          </w:p>
        </w:tc>
      </w:tr>
      <w:tr w:rsidR="00CD331F" w:rsidRPr="00CD331F" w:rsidTr="00D94923">
        <w:tc>
          <w:tcPr>
            <w:tcW w:w="620" w:type="dxa"/>
          </w:tcPr>
          <w:p w:rsidR="00CD331F" w:rsidRPr="00CD331F" w:rsidRDefault="00CD331F" w:rsidP="00D9492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CD331F">
              <w:rPr>
                <w:rFonts w:asciiTheme="majorHAnsi" w:hAnsiTheme="majorHAnsi" w:cstheme="majorHAnsi"/>
              </w:rPr>
              <w:t>4.1</w:t>
            </w:r>
          </w:p>
        </w:tc>
        <w:tc>
          <w:tcPr>
            <w:tcW w:w="5612" w:type="dxa"/>
          </w:tcPr>
          <w:p w:rsidR="00CD331F" w:rsidRPr="00CD331F" w:rsidRDefault="00CD331F" w:rsidP="00D9492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CD331F">
              <w:rPr>
                <w:rFonts w:asciiTheme="majorHAnsi" w:hAnsiTheme="majorHAnsi" w:cstheme="majorHAnsi"/>
              </w:rPr>
              <w:t>Рытье могилы механизированным способом</w:t>
            </w:r>
          </w:p>
        </w:tc>
        <w:tc>
          <w:tcPr>
            <w:tcW w:w="3090" w:type="dxa"/>
            <w:vAlign w:val="center"/>
          </w:tcPr>
          <w:p w:rsidR="00CD331F" w:rsidRPr="00CD331F" w:rsidRDefault="00CD331F" w:rsidP="00D9492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CD331F">
              <w:rPr>
                <w:rFonts w:asciiTheme="majorHAnsi" w:hAnsiTheme="majorHAnsi" w:cstheme="majorHAnsi"/>
                <w:color w:val="000000"/>
              </w:rPr>
              <w:t>5315,73</w:t>
            </w:r>
          </w:p>
        </w:tc>
      </w:tr>
      <w:tr w:rsidR="00CD331F" w:rsidRPr="00CD331F" w:rsidTr="00D94923">
        <w:tc>
          <w:tcPr>
            <w:tcW w:w="620" w:type="dxa"/>
          </w:tcPr>
          <w:p w:rsidR="00CD331F" w:rsidRPr="00CD331F" w:rsidRDefault="00CD331F" w:rsidP="00D9492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CD331F">
              <w:rPr>
                <w:rFonts w:asciiTheme="majorHAnsi" w:hAnsiTheme="majorHAnsi" w:cstheme="majorHAnsi"/>
              </w:rPr>
              <w:t>4.2</w:t>
            </w:r>
          </w:p>
        </w:tc>
        <w:tc>
          <w:tcPr>
            <w:tcW w:w="5612" w:type="dxa"/>
          </w:tcPr>
          <w:p w:rsidR="00CD331F" w:rsidRPr="00CD331F" w:rsidRDefault="00CD331F" w:rsidP="00D9492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CD331F">
              <w:rPr>
                <w:rFonts w:asciiTheme="majorHAnsi" w:hAnsiTheme="majorHAnsi" w:cstheme="majorHAnsi"/>
              </w:rPr>
              <w:t>Захоронение</w:t>
            </w:r>
          </w:p>
        </w:tc>
        <w:tc>
          <w:tcPr>
            <w:tcW w:w="3090" w:type="dxa"/>
            <w:vAlign w:val="center"/>
          </w:tcPr>
          <w:p w:rsidR="00CD331F" w:rsidRPr="00CD331F" w:rsidRDefault="00CD331F" w:rsidP="00D9492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CD331F">
              <w:rPr>
                <w:rFonts w:asciiTheme="majorHAnsi" w:hAnsiTheme="majorHAnsi" w:cstheme="majorHAnsi"/>
                <w:color w:val="000000"/>
              </w:rPr>
              <w:t>888,50</w:t>
            </w:r>
          </w:p>
        </w:tc>
      </w:tr>
      <w:tr w:rsidR="00CD331F" w:rsidRPr="00CD331F" w:rsidTr="00D94923">
        <w:tc>
          <w:tcPr>
            <w:tcW w:w="620" w:type="dxa"/>
          </w:tcPr>
          <w:p w:rsidR="00CD331F" w:rsidRPr="00CD331F" w:rsidRDefault="00CD331F" w:rsidP="00D9492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CD331F">
              <w:rPr>
                <w:rFonts w:asciiTheme="majorHAnsi" w:hAnsiTheme="majorHAnsi" w:cstheme="majorHAnsi"/>
              </w:rPr>
              <w:t>4.3</w:t>
            </w:r>
          </w:p>
        </w:tc>
        <w:tc>
          <w:tcPr>
            <w:tcW w:w="5612" w:type="dxa"/>
          </w:tcPr>
          <w:p w:rsidR="00CD331F" w:rsidRPr="00CD331F" w:rsidRDefault="00CD331F" w:rsidP="00D9492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CD331F">
              <w:rPr>
                <w:rFonts w:asciiTheme="majorHAnsi" w:hAnsiTheme="majorHAnsi" w:cstheme="majorHAnsi"/>
              </w:rPr>
              <w:t>Засыпка могилы</w:t>
            </w:r>
          </w:p>
        </w:tc>
        <w:tc>
          <w:tcPr>
            <w:tcW w:w="3090" w:type="dxa"/>
            <w:vAlign w:val="center"/>
          </w:tcPr>
          <w:p w:rsidR="00CD331F" w:rsidRPr="00CD331F" w:rsidRDefault="00CD331F" w:rsidP="00D9492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CD331F">
              <w:rPr>
                <w:rFonts w:asciiTheme="majorHAnsi" w:hAnsiTheme="majorHAnsi" w:cstheme="majorHAnsi"/>
                <w:color w:val="000000"/>
              </w:rPr>
              <w:t>456,41</w:t>
            </w:r>
          </w:p>
        </w:tc>
      </w:tr>
      <w:tr w:rsidR="00CD331F" w:rsidRPr="00CD331F" w:rsidTr="00D94923">
        <w:tc>
          <w:tcPr>
            <w:tcW w:w="620" w:type="dxa"/>
          </w:tcPr>
          <w:p w:rsidR="00CD331F" w:rsidRPr="00CD331F" w:rsidRDefault="00CD331F" w:rsidP="00D9492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CD331F">
              <w:rPr>
                <w:rFonts w:asciiTheme="majorHAnsi" w:hAnsiTheme="majorHAnsi" w:cstheme="majorHAnsi"/>
              </w:rPr>
              <w:t>4.4</w:t>
            </w:r>
          </w:p>
        </w:tc>
        <w:tc>
          <w:tcPr>
            <w:tcW w:w="5612" w:type="dxa"/>
          </w:tcPr>
          <w:p w:rsidR="00CD331F" w:rsidRPr="00CD331F" w:rsidRDefault="00CD331F" w:rsidP="00D9492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CD331F">
              <w:rPr>
                <w:rFonts w:asciiTheme="majorHAnsi" w:hAnsiTheme="majorHAnsi" w:cstheme="majorHAnsi"/>
              </w:rPr>
              <w:t>Тумба-обелиск</w:t>
            </w:r>
          </w:p>
        </w:tc>
        <w:tc>
          <w:tcPr>
            <w:tcW w:w="3090" w:type="dxa"/>
            <w:vAlign w:val="center"/>
          </w:tcPr>
          <w:p w:rsidR="00CD331F" w:rsidRPr="00CD331F" w:rsidRDefault="00CD331F" w:rsidP="00D9492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CD331F">
              <w:rPr>
                <w:rFonts w:asciiTheme="majorHAnsi" w:hAnsiTheme="majorHAnsi" w:cstheme="majorHAnsi"/>
                <w:color w:val="000000"/>
              </w:rPr>
              <w:t>2626,28</w:t>
            </w:r>
          </w:p>
        </w:tc>
      </w:tr>
      <w:tr w:rsidR="00CD331F" w:rsidRPr="00CD331F" w:rsidTr="00D94923">
        <w:tc>
          <w:tcPr>
            <w:tcW w:w="620" w:type="dxa"/>
          </w:tcPr>
          <w:p w:rsidR="00CD331F" w:rsidRPr="00CD331F" w:rsidRDefault="00CD331F" w:rsidP="00D9492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CD331F">
              <w:rPr>
                <w:rFonts w:asciiTheme="majorHAnsi" w:hAnsiTheme="majorHAnsi" w:cstheme="majorHAnsi"/>
              </w:rPr>
              <w:t>4.5</w:t>
            </w:r>
          </w:p>
        </w:tc>
        <w:tc>
          <w:tcPr>
            <w:tcW w:w="5612" w:type="dxa"/>
          </w:tcPr>
          <w:p w:rsidR="00CD331F" w:rsidRPr="00CD331F" w:rsidRDefault="00CD331F" w:rsidP="00D9492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CD331F">
              <w:rPr>
                <w:rFonts w:asciiTheme="majorHAnsi" w:hAnsiTheme="majorHAnsi" w:cstheme="majorHAnsi"/>
              </w:rPr>
              <w:t>Надпись на тумбе-обелиске</w:t>
            </w:r>
          </w:p>
        </w:tc>
        <w:tc>
          <w:tcPr>
            <w:tcW w:w="3090" w:type="dxa"/>
            <w:vAlign w:val="center"/>
          </w:tcPr>
          <w:p w:rsidR="00CD331F" w:rsidRPr="00CD331F" w:rsidRDefault="00CD331F" w:rsidP="00D9492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CD331F">
              <w:rPr>
                <w:rFonts w:asciiTheme="majorHAnsi" w:hAnsiTheme="majorHAnsi" w:cstheme="majorHAnsi"/>
                <w:color w:val="000000"/>
              </w:rPr>
              <w:t>932,54</w:t>
            </w:r>
          </w:p>
        </w:tc>
      </w:tr>
      <w:tr w:rsidR="00CD331F" w:rsidRPr="00CD331F" w:rsidTr="00D94923">
        <w:tc>
          <w:tcPr>
            <w:tcW w:w="620" w:type="dxa"/>
          </w:tcPr>
          <w:p w:rsidR="00CD331F" w:rsidRPr="00CD331F" w:rsidRDefault="00CD331F" w:rsidP="00D9492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CD331F">
              <w:rPr>
                <w:rFonts w:asciiTheme="majorHAnsi" w:hAnsiTheme="majorHAnsi" w:cstheme="majorHAnsi"/>
              </w:rPr>
              <w:t>4.6</w:t>
            </w:r>
          </w:p>
        </w:tc>
        <w:tc>
          <w:tcPr>
            <w:tcW w:w="5612" w:type="dxa"/>
          </w:tcPr>
          <w:p w:rsidR="00CD331F" w:rsidRPr="00CD331F" w:rsidRDefault="00CD331F" w:rsidP="00D9492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CD331F">
              <w:rPr>
                <w:rFonts w:asciiTheme="majorHAnsi" w:hAnsiTheme="majorHAnsi" w:cstheme="majorHAnsi"/>
              </w:rPr>
              <w:t>Установка тумбы-обелиска</w:t>
            </w:r>
          </w:p>
        </w:tc>
        <w:tc>
          <w:tcPr>
            <w:tcW w:w="3090" w:type="dxa"/>
            <w:vAlign w:val="center"/>
          </w:tcPr>
          <w:p w:rsidR="00CD331F" w:rsidRPr="00CD331F" w:rsidRDefault="00CD331F" w:rsidP="00D9492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CD331F">
              <w:rPr>
                <w:rFonts w:asciiTheme="majorHAnsi" w:hAnsiTheme="majorHAnsi" w:cstheme="majorHAnsi"/>
                <w:color w:val="000000"/>
              </w:rPr>
              <w:t>120,15</w:t>
            </w:r>
          </w:p>
        </w:tc>
      </w:tr>
      <w:tr w:rsidR="00CD331F" w:rsidRPr="00CD331F" w:rsidTr="00D94923">
        <w:tc>
          <w:tcPr>
            <w:tcW w:w="6232" w:type="dxa"/>
            <w:gridSpan w:val="2"/>
          </w:tcPr>
          <w:p w:rsidR="00CD331F" w:rsidRPr="00CD331F" w:rsidRDefault="00CD331F" w:rsidP="00D9492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CD331F">
              <w:rPr>
                <w:rFonts w:asciiTheme="majorHAnsi" w:hAnsiTheme="majorHAnsi" w:cstheme="majorHAnsi"/>
              </w:rPr>
              <w:t>Итого</w:t>
            </w:r>
          </w:p>
        </w:tc>
        <w:tc>
          <w:tcPr>
            <w:tcW w:w="3090" w:type="dxa"/>
          </w:tcPr>
          <w:p w:rsidR="00CD331F" w:rsidRPr="00CD331F" w:rsidRDefault="00CD331F" w:rsidP="00D9492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CD331F">
              <w:rPr>
                <w:rFonts w:asciiTheme="majorHAnsi" w:hAnsiTheme="majorHAnsi" w:cstheme="majorHAnsi"/>
                <w:color w:val="000000"/>
              </w:rPr>
              <w:t>10881,26</w:t>
            </w:r>
          </w:p>
        </w:tc>
      </w:tr>
    </w:tbl>
    <w:p w:rsidR="00CD331F" w:rsidRPr="00CD331F" w:rsidRDefault="00CD331F" w:rsidP="00CD331F">
      <w:pPr>
        <w:rPr>
          <w:rFonts w:asciiTheme="majorHAnsi" w:hAnsiTheme="majorHAnsi" w:cstheme="majorHAnsi"/>
        </w:rPr>
      </w:pPr>
    </w:p>
    <w:p w:rsidR="00CD331F" w:rsidRPr="00CD331F" w:rsidRDefault="00CD331F" w:rsidP="00F100C2">
      <w:pPr>
        <w:ind w:firstLine="225"/>
        <w:jc w:val="center"/>
        <w:rPr>
          <w:rFonts w:asciiTheme="majorHAnsi" w:hAnsiTheme="majorHAnsi" w:cstheme="majorHAnsi"/>
          <w:color w:val="000000"/>
        </w:rPr>
      </w:pPr>
    </w:p>
    <w:sectPr w:rsidR="00CD331F" w:rsidRPr="00CD331F" w:rsidSect="00915594">
      <w:type w:val="continuous"/>
      <w:pgSz w:w="11900" w:h="16820"/>
      <w:pgMar w:top="1134" w:right="624" w:bottom="1259" w:left="1474" w:header="567" w:footer="55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31424"/>
    <w:rsid w:val="004C2A46"/>
    <w:rsid w:val="004E11D2"/>
    <w:rsid w:val="005777D4"/>
    <w:rsid w:val="0067604B"/>
    <w:rsid w:val="006D3DA2"/>
    <w:rsid w:val="007A21CA"/>
    <w:rsid w:val="00915594"/>
    <w:rsid w:val="00931424"/>
    <w:rsid w:val="00CD331F"/>
    <w:rsid w:val="00D471CD"/>
    <w:rsid w:val="00DD1F33"/>
    <w:rsid w:val="00F060B0"/>
    <w:rsid w:val="00F10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Normal Table" w:semiHidden="1" w:uiPriority="99" w:unhideWhenUsed="1"/>
    <w:lsdException w:name="No List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0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1F33"/>
    <w:pPr>
      <w:jc w:val="both"/>
    </w:pPr>
    <w:rPr>
      <w:rFonts w:eastAsia="Times New Roman"/>
    </w:rPr>
  </w:style>
  <w:style w:type="character" w:customStyle="1" w:styleId="a4">
    <w:name w:val="Основной текст Знак"/>
    <w:link w:val="a3"/>
    <w:rsid w:val="00DD1F33"/>
    <w:rPr>
      <w:rFonts w:eastAsia="Times New Roman"/>
      <w:sz w:val="28"/>
    </w:rPr>
  </w:style>
  <w:style w:type="paragraph" w:styleId="a5">
    <w:name w:val="Normal (Web)"/>
    <w:basedOn w:val="a"/>
    <w:rsid w:val="00DD1F33"/>
    <w:pPr>
      <w:spacing w:before="100" w:beforeAutospacing="1" w:after="100" w:afterAutospacing="1"/>
    </w:pPr>
    <w:rPr>
      <w:rFonts w:eastAsia="Calibri"/>
    </w:rPr>
  </w:style>
  <w:style w:type="table" w:styleId="a6">
    <w:name w:val="Table Grid"/>
    <w:basedOn w:val="a1"/>
    <w:rsid w:val="00DD1F33"/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100C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alloon Text"/>
    <w:basedOn w:val="a"/>
    <w:link w:val="a8"/>
    <w:rsid w:val="00D471C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D47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B542E-FD00-4AB2-97CD-A6726E3BF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Birofeld</dc:creator>
  <cp:keywords/>
  <dc:description/>
  <cp:lastModifiedBy>User</cp:lastModifiedBy>
  <cp:revision>8</cp:revision>
  <cp:lastPrinted>2024-01-29T02:06:00Z</cp:lastPrinted>
  <dcterms:created xsi:type="dcterms:W3CDTF">2023-01-26T03:12:00Z</dcterms:created>
  <dcterms:modified xsi:type="dcterms:W3CDTF">2024-01-29T02:08:00Z</dcterms:modified>
</cp:coreProperties>
</file>