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5B" w:rsidRDefault="00CE555B" w:rsidP="00CE555B">
      <w:pPr>
        <w:spacing w:before="100" w:beforeAutospacing="1" w:after="100" w:afterAutospacing="1"/>
        <w:jc w:val="center"/>
        <w:outlineLvl w:val="2"/>
        <w:rPr>
          <w:rFonts w:ascii="Arial" w:eastAsia="Times New Roman" w:hAnsi="Arial" w:cs="Arial"/>
          <w:b/>
          <w:bCs/>
          <w:sz w:val="24"/>
          <w:szCs w:val="24"/>
          <w:lang w:eastAsia="ru-RU"/>
        </w:rPr>
      </w:pPr>
      <w:r w:rsidRPr="00CE555B">
        <w:rPr>
          <w:rFonts w:ascii="Arial" w:eastAsia="Times New Roman" w:hAnsi="Arial" w:cs="Arial"/>
          <w:b/>
          <w:bCs/>
          <w:sz w:val="24"/>
          <w:szCs w:val="24"/>
          <w:lang w:eastAsia="ru-RU"/>
        </w:rPr>
        <w:t xml:space="preserve">Руководство по соблюдению обязательных требований земельного законодательства и требований, </w:t>
      </w:r>
    </w:p>
    <w:p w:rsidR="00CE555B" w:rsidRPr="00CE555B" w:rsidRDefault="00CE555B" w:rsidP="00CE555B">
      <w:pPr>
        <w:spacing w:before="100" w:beforeAutospacing="1" w:after="100" w:afterAutospacing="1"/>
        <w:jc w:val="center"/>
        <w:outlineLvl w:val="2"/>
        <w:rPr>
          <w:rFonts w:eastAsia="Times New Roman"/>
          <w:b/>
          <w:bCs/>
          <w:sz w:val="27"/>
          <w:szCs w:val="27"/>
          <w:lang w:eastAsia="ru-RU"/>
        </w:rPr>
      </w:pPr>
      <w:r w:rsidRPr="00CE555B">
        <w:rPr>
          <w:rFonts w:ascii="Arial" w:eastAsia="Times New Roman" w:hAnsi="Arial" w:cs="Arial"/>
          <w:b/>
          <w:bCs/>
          <w:sz w:val="24"/>
          <w:szCs w:val="24"/>
          <w:lang w:eastAsia="ru-RU"/>
        </w:rPr>
        <w:t>установленных муниципальными правовыми актами.</w:t>
      </w:r>
    </w:p>
    <w:p w:rsidR="00CE555B" w:rsidRPr="00CE555B" w:rsidRDefault="00CE555B" w:rsidP="00CE555B">
      <w:pPr>
        <w:spacing w:before="100" w:beforeAutospacing="1" w:after="100" w:afterAutospacing="1"/>
        <w:ind w:firstLine="708"/>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color w:val="000000"/>
          <w:shd w:val="clear" w:color="auto" w:fill="FFFFFF"/>
          <w:lang w:eastAsia="ru-RU"/>
        </w:rPr>
        <w:t>Настоящее руководство разработано 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имеет целью оказание информационно-методической поддержки органов государственной власти, местного самоуправления, юридических лиц, индивидуальных предпринимателей, граждан в рамках требований законодательства Российской Федерации, законодательства Еврейской автономной области, за нарушение которых законодательством Российской Федерации, законодательством Еврейской автономной области предусмотрена административная и иная ответственность при использовании объектов земельных отношений.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или иная ответственность, в том числе:</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lastRenderedPageBreak/>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земельного и гражданского законодательства Российской Федерации, связанных с уступкой права пользования землей;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законодательства Российской Федерации о запрете самовольного снятия, перемещения и уничтожения плодородного слоя почвы;</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shd w:val="clear" w:color="auto" w:fill="FFFFFF"/>
          <w:lang w:eastAsia="ru-RU"/>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
          <w:bCs/>
          <w:lang w:eastAsia="ru-RU"/>
        </w:rPr>
      </w:pPr>
      <w:r w:rsidRPr="00CE555B">
        <w:rPr>
          <w:rFonts w:asciiTheme="minorHAnsi" w:eastAsia="Times New Roman" w:hAnsiTheme="minorHAnsi" w:cstheme="minorHAnsi"/>
          <w:b/>
          <w:bCs/>
          <w:u w:val="single"/>
          <w:lang w:eastAsia="ru-RU"/>
        </w:rPr>
        <w:t>Возникновение прав на земельный участок</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 218-ФЗ «О государственной регистрации недвижимости».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Права на земельные участки удостоверяются документами в порядке, установленном Федеральным законом от 13.07.2015 № 218-ФЗ «О государственной регистрации недвижимости».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 w:history="1">
        <w:r w:rsidRPr="00CE555B">
          <w:rPr>
            <w:rFonts w:asciiTheme="minorHAnsi" w:eastAsia="Times New Roman" w:hAnsiTheme="minorHAnsi" w:cstheme="minorHAnsi"/>
            <w:bCs/>
            <w:color w:val="0000FF"/>
            <w:u w:val="single"/>
            <w:lang w:eastAsia="ru-RU"/>
          </w:rPr>
          <w:t>законодательством</w:t>
        </w:r>
      </w:hyperlink>
      <w:r w:rsidRPr="00CE555B">
        <w:rPr>
          <w:rFonts w:asciiTheme="minorHAnsi" w:eastAsia="Times New Roman" w:hAnsiTheme="minorHAnsi" w:cstheme="minorHAnsi"/>
          <w:bCs/>
          <w:lang w:eastAsia="ru-RU"/>
        </w:rPr>
        <w:t xml:space="preserve"> для случаев продажи доли в праве общей собственности постороннему лицу.</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отчуждение части здания, сооружения, которая не может быть выделена в натуре вместе с частью земельного участка;</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 отчуждение здания, сооружения, находящихся на земельном участке, изъятом из оборота в соответствии со </w:t>
      </w:r>
      <w:hyperlink r:id="rId5" w:history="1">
        <w:r w:rsidRPr="00CE555B">
          <w:rPr>
            <w:rFonts w:asciiTheme="minorHAnsi" w:eastAsia="Times New Roman" w:hAnsiTheme="minorHAnsi" w:cstheme="minorHAnsi"/>
            <w:bCs/>
            <w:color w:val="0000FF"/>
            <w:u w:val="single"/>
            <w:lang w:eastAsia="ru-RU"/>
          </w:rPr>
          <w:t>статьей 27</w:t>
        </w:r>
      </w:hyperlink>
      <w:r w:rsidRPr="00CE555B">
        <w:rPr>
          <w:rFonts w:asciiTheme="minorHAnsi" w:eastAsia="Times New Roman" w:hAnsiTheme="minorHAnsi" w:cstheme="minorHAnsi"/>
          <w:bCs/>
          <w:lang w:eastAsia="ru-RU"/>
        </w:rPr>
        <w:t xml:space="preserve"> Земельного кодекса Российской Федерации;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отчуждение сооружения, которое расположено на земельном участке на условиях сервитута.</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Не допускается отчуждение земельного участка без находящихся на нем здания, сооружения в случае, если они принадлежат одному лицу.</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
          <w:bCs/>
          <w:lang w:eastAsia="ru-RU"/>
        </w:rPr>
      </w:pPr>
      <w:r w:rsidRPr="00CE555B">
        <w:rPr>
          <w:rFonts w:asciiTheme="minorHAnsi" w:eastAsia="Times New Roman" w:hAnsiTheme="minorHAnsi" w:cstheme="minorHAnsi"/>
          <w:b/>
          <w:bCs/>
          <w:color w:val="000000"/>
          <w:u w:val="single"/>
          <w:lang w:eastAsia="ru-RU"/>
        </w:rPr>
        <w:t>Переоформление прав на земельный участок</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w:t>
      </w:r>
      <w:r w:rsidRPr="00CE555B">
        <w:rPr>
          <w:rFonts w:asciiTheme="minorHAnsi" w:eastAsia="Times New Roman" w:hAnsiTheme="minorHAnsi" w:cstheme="minorHAnsi"/>
          <w:bCs/>
          <w:lang w:eastAsia="ru-RU"/>
        </w:rPr>
        <w:lastRenderedPageBreak/>
        <w:t xml:space="preserve">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Земельным кодексом Российской Федерации. 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bookmarkStart w:id="0" w:name="_GoBack"/>
      <w:bookmarkEnd w:id="0"/>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
          <w:bCs/>
          <w:lang w:eastAsia="ru-RU"/>
        </w:rPr>
      </w:pPr>
      <w:r w:rsidRPr="00CE555B">
        <w:rPr>
          <w:rFonts w:asciiTheme="minorHAnsi" w:eastAsia="Times New Roman" w:hAnsiTheme="minorHAnsi" w:cstheme="minorHAnsi"/>
          <w:b/>
          <w:bCs/>
          <w:lang w:eastAsia="ru-RU"/>
        </w:rPr>
        <w:t>Ответственность за правонарушения</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
          <w:bCs/>
          <w:lang w:eastAsia="ru-RU"/>
        </w:rPr>
      </w:pPr>
      <w:r w:rsidRPr="00CE555B">
        <w:rPr>
          <w:rFonts w:asciiTheme="minorHAnsi" w:eastAsia="Times New Roman" w:hAnsiTheme="minorHAnsi" w:cstheme="minorHAnsi"/>
          <w:b/>
          <w:bCs/>
          <w:lang w:eastAsia="ru-RU"/>
        </w:rPr>
        <w:t>в области охраны и использования земель</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w:t>
      </w:r>
      <w:r w:rsidRPr="00CE555B">
        <w:rPr>
          <w:rFonts w:asciiTheme="minorHAnsi" w:eastAsia="Times New Roman" w:hAnsiTheme="minorHAnsi" w:cstheme="minorHAnsi"/>
          <w:bCs/>
          <w:lang w:eastAsia="ru-RU"/>
        </w:rPr>
        <w:lastRenderedPageBreak/>
        <w:t>юридическими лицами и гражданами, виновными в указанных земельных правонарушениях, или за их счет.</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С</w:t>
      </w:r>
      <w:hyperlink r:id="rId6" w:history="1">
        <w:r w:rsidRPr="00CE555B">
          <w:rPr>
            <w:rFonts w:asciiTheme="minorHAnsi" w:eastAsia="Times New Roman" w:hAnsiTheme="minorHAnsi" w:cstheme="minorHAnsi"/>
            <w:bCs/>
            <w:color w:val="0000FF"/>
            <w:u w:val="single"/>
            <w:lang w:eastAsia="ru-RU"/>
          </w:rPr>
          <w:t>амовольное</w:t>
        </w:r>
      </w:hyperlink>
      <w:r w:rsidRPr="00CE555B">
        <w:rPr>
          <w:rFonts w:asciiTheme="minorHAnsi" w:eastAsia="Times New Roman" w:hAnsiTheme="minorHAnsi" w:cstheme="minorHAnsi"/>
          <w:bCs/>
          <w:lang w:eastAsia="ru-RU"/>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Административная ответственность предусмотрена ст. 7.1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Примечания:</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Во избежание привлечения к административной ответственности землепользователи должны использовать свои земельные участки исключительно в пределах установленных границ земельных участков. </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Административная ответственность за данное правонарушение предусмотрена ч. 1 ст. 8.8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w:t>
      </w:r>
      <w:r w:rsidRPr="00CE555B">
        <w:rPr>
          <w:rFonts w:asciiTheme="minorHAnsi" w:eastAsia="Times New Roman" w:hAnsiTheme="minorHAnsi" w:cstheme="minorHAnsi"/>
          <w:bCs/>
          <w:lang w:eastAsia="ru-RU"/>
        </w:rPr>
        <w:lastRenderedPageBreak/>
        <w:t>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E555B" w:rsidRPr="00CE555B" w:rsidRDefault="00CE555B" w:rsidP="00CE555B">
      <w:pPr>
        <w:spacing w:before="100" w:beforeAutospacing="1" w:after="100" w:afterAutospacing="1"/>
        <w:jc w:val="both"/>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xml:space="preserve">Во избежание привлечения к административной ответственности землепользователи должны использовать земельные участки в соответствии с установленным видом разрешенного использования. </w:t>
      </w:r>
    </w:p>
    <w:p w:rsidR="00CE555B" w:rsidRPr="00CE555B" w:rsidRDefault="00CE555B" w:rsidP="00CE555B">
      <w:pPr>
        <w:spacing w:before="100" w:beforeAutospacing="1" w:after="100" w:afterAutospacing="1"/>
        <w:outlineLvl w:val="2"/>
        <w:rPr>
          <w:rFonts w:asciiTheme="minorHAnsi" w:eastAsia="Times New Roman" w:hAnsiTheme="minorHAnsi" w:cstheme="minorHAnsi"/>
          <w:bCs/>
          <w:lang w:eastAsia="ru-RU"/>
        </w:rPr>
      </w:pPr>
      <w:r w:rsidRPr="00CE555B">
        <w:rPr>
          <w:rFonts w:asciiTheme="minorHAnsi" w:eastAsia="Times New Roman" w:hAnsiTheme="minorHAnsi" w:cstheme="minorHAnsi"/>
          <w:bCs/>
          <w:lang w:eastAsia="ru-RU"/>
        </w:rPr>
        <w:t> </w:t>
      </w:r>
    </w:p>
    <w:p w:rsidR="004C2A46" w:rsidRPr="00CE555B" w:rsidRDefault="004C2A46">
      <w:pPr>
        <w:rPr>
          <w:rFonts w:asciiTheme="minorHAnsi" w:hAnsiTheme="minorHAnsi" w:cstheme="minorHAnsi"/>
        </w:rPr>
      </w:pPr>
    </w:p>
    <w:sectPr w:rsidR="004C2A46" w:rsidRPr="00CE555B" w:rsidSect="00CE555B">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01"/>
    <w:rsid w:val="004C2A46"/>
    <w:rsid w:val="004E11D2"/>
    <w:rsid w:val="007A21CA"/>
    <w:rsid w:val="00915594"/>
    <w:rsid w:val="00CE555B"/>
    <w:rsid w:val="00DD1F33"/>
    <w:rsid w:val="00E34301"/>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C071"/>
  <w15:chartTrackingRefBased/>
  <w15:docId w15:val="{9AF81192-2BA2-4104-8AEC-C6ACD178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5579">
      <w:bodyDiv w:val="1"/>
      <w:marLeft w:val="0"/>
      <w:marRight w:val="0"/>
      <w:marTop w:val="0"/>
      <w:marBottom w:val="0"/>
      <w:divBdr>
        <w:top w:val="none" w:sz="0" w:space="0" w:color="auto"/>
        <w:left w:val="none" w:sz="0" w:space="0" w:color="auto"/>
        <w:bottom w:val="none" w:sz="0" w:space="0" w:color="auto"/>
        <w:right w:val="none" w:sz="0" w:space="0" w:color="auto"/>
      </w:divBdr>
      <w:divsChild>
        <w:div w:id="1462307536">
          <w:marLeft w:val="0"/>
          <w:marRight w:val="0"/>
          <w:marTop w:val="0"/>
          <w:marBottom w:val="0"/>
          <w:divBdr>
            <w:top w:val="none" w:sz="0" w:space="0" w:color="auto"/>
            <w:left w:val="none" w:sz="0" w:space="0" w:color="auto"/>
            <w:bottom w:val="none" w:sz="0" w:space="0" w:color="auto"/>
            <w:right w:val="none" w:sz="0" w:space="0" w:color="auto"/>
          </w:divBdr>
          <w:divsChild>
            <w:div w:id="1200162378">
              <w:marLeft w:val="0"/>
              <w:marRight w:val="0"/>
              <w:marTop w:val="0"/>
              <w:marBottom w:val="0"/>
              <w:divBdr>
                <w:top w:val="none" w:sz="0" w:space="0" w:color="auto"/>
                <w:left w:val="none" w:sz="0" w:space="0" w:color="auto"/>
                <w:bottom w:val="none" w:sz="0" w:space="0" w:color="auto"/>
                <w:right w:val="none" w:sz="0" w:space="0" w:color="auto"/>
              </w:divBdr>
              <w:divsChild>
                <w:div w:id="981076347">
                  <w:marLeft w:val="0"/>
                  <w:marRight w:val="0"/>
                  <w:marTop w:val="0"/>
                  <w:marBottom w:val="0"/>
                  <w:divBdr>
                    <w:top w:val="none" w:sz="0" w:space="0" w:color="auto"/>
                    <w:left w:val="none" w:sz="0" w:space="0" w:color="auto"/>
                    <w:bottom w:val="none" w:sz="0" w:space="0" w:color="auto"/>
                    <w:right w:val="none" w:sz="0" w:space="0" w:color="auto"/>
                  </w:divBdr>
                  <w:divsChild>
                    <w:div w:id="948121208">
                      <w:marLeft w:val="0"/>
                      <w:marRight w:val="0"/>
                      <w:marTop w:val="0"/>
                      <w:marBottom w:val="0"/>
                      <w:divBdr>
                        <w:top w:val="none" w:sz="0" w:space="0" w:color="auto"/>
                        <w:left w:val="none" w:sz="0" w:space="0" w:color="auto"/>
                        <w:bottom w:val="none" w:sz="0" w:space="0" w:color="auto"/>
                        <w:right w:val="none" w:sz="0" w:space="0" w:color="auto"/>
                      </w:divBdr>
                      <w:divsChild>
                        <w:div w:id="1847746254">
                          <w:marLeft w:val="0"/>
                          <w:marRight w:val="0"/>
                          <w:marTop w:val="0"/>
                          <w:marBottom w:val="0"/>
                          <w:divBdr>
                            <w:top w:val="none" w:sz="0" w:space="0" w:color="auto"/>
                            <w:left w:val="none" w:sz="0" w:space="0" w:color="auto"/>
                            <w:bottom w:val="none" w:sz="0" w:space="0" w:color="auto"/>
                            <w:right w:val="none" w:sz="0" w:space="0" w:color="auto"/>
                          </w:divBdr>
                          <w:divsChild>
                            <w:div w:id="569312158">
                              <w:marLeft w:val="0"/>
                              <w:marRight w:val="0"/>
                              <w:marTop w:val="0"/>
                              <w:marBottom w:val="0"/>
                              <w:divBdr>
                                <w:top w:val="none" w:sz="0" w:space="0" w:color="auto"/>
                                <w:left w:val="none" w:sz="0" w:space="0" w:color="auto"/>
                                <w:bottom w:val="none" w:sz="0" w:space="0" w:color="auto"/>
                                <w:right w:val="none" w:sz="0" w:space="0" w:color="auto"/>
                              </w:divBdr>
                            </w:div>
                            <w:div w:id="1226186076">
                              <w:marLeft w:val="0"/>
                              <w:marRight w:val="0"/>
                              <w:marTop w:val="0"/>
                              <w:marBottom w:val="0"/>
                              <w:divBdr>
                                <w:top w:val="none" w:sz="0" w:space="0" w:color="auto"/>
                                <w:left w:val="none" w:sz="0" w:space="0" w:color="auto"/>
                                <w:bottom w:val="none" w:sz="0" w:space="0" w:color="auto"/>
                                <w:right w:val="none" w:sz="0" w:space="0" w:color="auto"/>
                              </w:divBdr>
                              <w:divsChild>
                                <w:div w:id="1290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1E2A431705DEC7BA4048253551503E8D6212CA2DECB7B30FCA082985F490FF5F4A13D6353BD260765455CE35BC0E10F2FCE935CBA706DAfAe1H" TargetMode="External"/><Relationship Id="rId5" Type="http://schemas.openxmlformats.org/officeDocument/2006/relationships/hyperlink" Target="consultantplus://offline/ref=9635D6DC3E9360BFCF4F652440A9CA961461F5FC07A29AFA76C6B4D8C7B4CDF8F878559CD595B16C75m4I" TargetMode="External"/><Relationship Id="rId4" Type="http://schemas.openxmlformats.org/officeDocument/2006/relationships/hyperlink" Target="consultantplus://offline/ref=9635D6DC3E9360BFCF4F652440A9CA961460F7FA07A49AFA76C6B4D8C7B4CDF8F878559CD594B06F7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cp:revision>
  <dcterms:created xsi:type="dcterms:W3CDTF">2022-11-30T05:29:00Z</dcterms:created>
  <dcterms:modified xsi:type="dcterms:W3CDTF">2022-11-30T05:35:00Z</dcterms:modified>
</cp:coreProperties>
</file>