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МИНИСТЕРСТВО СТРОИТЕЛЬСТВА И ЖИЛИЩНО-КОММУНАЛЬНОГО</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ХОЗЯЙСТВА РОССИЙСКОЙ ФЕДЕРАЦИИ</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bookmarkStart w:id="0" w:name="_GoBack"/>
      <w:r w:rsidRPr="00263012">
        <w:rPr>
          <w:rFonts w:ascii="Arial" w:eastAsia="Times New Roman" w:hAnsi="Arial" w:cs="Arial"/>
          <w:b/>
          <w:bCs/>
          <w:color w:val="222222"/>
          <w:sz w:val="24"/>
          <w:szCs w:val="24"/>
          <w:lang w:eastAsia="ru-RU"/>
        </w:rPr>
        <w:t>ПРИКАЗ</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от 31 октября 2017 г. N 1494/</w:t>
      </w:r>
      <w:proofErr w:type="spellStart"/>
      <w:r w:rsidRPr="00263012">
        <w:rPr>
          <w:rFonts w:ascii="Arial" w:eastAsia="Times New Roman" w:hAnsi="Arial" w:cs="Arial"/>
          <w:b/>
          <w:bCs/>
          <w:color w:val="222222"/>
          <w:sz w:val="24"/>
          <w:szCs w:val="24"/>
          <w:lang w:eastAsia="ru-RU"/>
        </w:rPr>
        <w:t>пр</w:t>
      </w:r>
      <w:proofErr w:type="spellEnd"/>
    </w:p>
    <w:bookmarkEnd w:id="0"/>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ОБ УТВЕРЖДЕНИИ МЕТОДИКИ</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ОПРЕДЕЛЕНИЯ ИНДЕКСА КАЧЕСТВА ГОРОДСКОЙ СРЕДЫ МУНИЦИПАЛЬНЫХ</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ОБРАЗОВАНИЙ РОССИЙСКОЙ ФЕДЕРАЦИИ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Во исполнение пункта 33 раздела 5 паспорта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 (протокол от 21 ноября 2016 г. N 10 (в редакции протоколов от 18 апреля 2017 г. N </w:t>
      </w:r>
      <w:hyperlink r:id="rId4" w:history="1">
        <w:r w:rsidRPr="00263012">
          <w:rPr>
            <w:rFonts w:ascii="inherit" w:eastAsia="Times New Roman" w:hAnsi="inherit" w:cs="Arial"/>
            <w:color w:val="1B6DFD"/>
            <w:sz w:val="24"/>
            <w:szCs w:val="24"/>
            <w:bdr w:val="none" w:sz="0" w:space="0" w:color="auto" w:frame="1"/>
            <w:lang w:eastAsia="ru-RU"/>
          </w:rPr>
          <w:t>5</w:t>
        </w:r>
      </w:hyperlink>
      <w:r w:rsidRPr="00263012">
        <w:rPr>
          <w:rFonts w:ascii="Arial" w:eastAsia="Times New Roman" w:hAnsi="Arial" w:cs="Arial"/>
          <w:color w:val="222222"/>
          <w:sz w:val="24"/>
          <w:szCs w:val="24"/>
          <w:lang w:eastAsia="ru-RU"/>
        </w:rPr>
        <w:t>, от 30 августа 2017 г. N 9), в целях подготовки ежегодного рейтинга субъектов Российской Федерации по качеству городской среды приказываю:</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 xml:space="preserve">1. Утвердить Методику определения индекса качества городской среды муниципальных образований Российской Федерации (далее - Методика) согласно </w:t>
      </w:r>
      <w:proofErr w:type="gramStart"/>
      <w:r w:rsidRPr="00263012">
        <w:rPr>
          <w:rFonts w:ascii="Arial" w:eastAsia="Times New Roman" w:hAnsi="Arial" w:cs="Arial"/>
          <w:color w:val="222222"/>
          <w:sz w:val="24"/>
          <w:szCs w:val="24"/>
          <w:lang w:eastAsia="ru-RU"/>
        </w:rPr>
        <w:t>приложению</w:t>
      </w:r>
      <w:proofErr w:type="gramEnd"/>
      <w:r w:rsidRPr="00263012">
        <w:rPr>
          <w:rFonts w:ascii="Arial" w:eastAsia="Times New Roman" w:hAnsi="Arial" w:cs="Arial"/>
          <w:color w:val="222222"/>
          <w:sz w:val="24"/>
          <w:szCs w:val="24"/>
          <w:lang w:eastAsia="ru-RU"/>
        </w:rPr>
        <w:t xml:space="preserve"> к настоящему приказу.</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 Департаменту городской среды в срок до 1 декабря 2017 г. обеспечить подготовку и принятие приказа о межведомственной комиссии по подготовке индекса качества городской среды (далее - Межведомственная комиссия).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3. Определить Департамент городской среды ответственным за подготовку в соответствии с Методикой индекса качества городской среды муниципальных образований Российской Федерации и субъектов Российской Федерации и представление на рассмотрение Межведомственной комиссии сводного отчета, содержащего сведения об индексах муниципальных образований Российской Федерации, субъектов Российской Федерации, а также иные материалы, необходимые для принятия решения об индексах применительно к муниципальному образованию, субъекту Российской Федерации.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4. Установить, что:</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а) в отношении населенных пунктов, имеющих статус города, значения индикаторов, предусмотренных пунктами 1 - 30 таблицы N 1 приложения к Методике, определяются на основе данных, представляемых некоммерческой организацией "Фонд единого института развития в жилищной сфере";</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б) индекс качества городской среды в 2017 - 2018 годах определяется для муниципальных образований, в которые входят населенные пункты с численностью свыше 1 000 человек.</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5.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Министр</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М.А.МЕНЬ</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Утверждена</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приказом Министерства строительства</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и жилищно-коммунального хозяйства</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Российской Федерации</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от 31 октября 2017 г. N 1494/</w:t>
      </w:r>
      <w:proofErr w:type="spellStart"/>
      <w:r w:rsidRPr="00263012">
        <w:rPr>
          <w:rFonts w:ascii="Arial" w:eastAsia="Times New Roman" w:hAnsi="Arial" w:cs="Arial"/>
          <w:color w:val="222222"/>
          <w:sz w:val="24"/>
          <w:szCs w:val="24"/>
          <w:lang w:eastAsia="ru-RU"/>
        </w:rPr>
        <w:t>пр</w:t>
      </w:r>
      <w:proofErr w:type="spellEnd"/>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МЕТОДИКА</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ОПРЕДЕЛЕНИЯ ИНДЕКСА КАЧЕСТВА ГОРОДСКОЙ СРЕДЫ МУНИЦИПАЛЬНЫХ</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ОБРАЗОВАНИЙ РОССИЙСКОЙ ФЕДЕРАЦИИ</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1. Общие положения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lastRenderedPageBreak/>
        <w:t>1.1. Настоящая методика предназначена для определения уровня качества городской среды муниципальных образований, в том числе муниципальных образований, в состав которых входят населенные пункты, имеющие статус города (далее - муниципальное образование), путем расчета и присвоения им индекса качества городской среды муниципального образования, а также для определения уровня качества городской среды на территории субъекта Российской Федерации путем расчета интегрированного индекса, основанного на индексах качества городской среды, присвоенных муниципальным образованиям, находящимся на территории соответствующего субъекта Российской Федерации.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1.2. Городская среда характеризуется совокупностью природных, архитектурно-планировочных, экологических и других факторов, формирующих среду обитания на определенной территории и определяющих комфортность проживания на этой территории. В настоящем документе понятие "городская среда" используется применительно к городам, городским округам, городским поселениям, а также к сельским поселениям.</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1.3. Индекс качества городской среды муниципального образования (далее - Индекс) представляет собой цифровое значение состояния городской среды населенных пунктов, входящих в муниципальное образование, полученное в результате комплексной оценки количественных и поддающихся измерению показателей, характеризующих уровень комфорта проживания на соответствующей территории (далее - индикаторы).</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1.4. Целями формирования Индекса являются: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а) определение текущего состояния городской среды, в том числе выявление конкурентных преимуществ муниципальных образований и ограничений, препятствующих его развитию, актуальных проблем, перспективных направлений развития;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б) формирование системы мониторинга процессов в сфере развития городской среды с использованием набора объективных индикаторов, направленной на обеспечение обоснованности принимаемых на федеральном, региональном и муниципальном уровнях власти решений в сфере развития городской среды, в том числе поддержку и вовлечение в принятие этих решений граждан;</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в) подготовка ежегодного рейтинга субъектов Российской Федерации по качеству городской среды, сформированного в соответствии с уровнем качества городской среды в муниципальных образованиях, расположенных на территории соответствующего субъекта Российской Федерации;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г) обеспечение возможности сопоставления условий жизни населения в различных муниципальных образованиях и в различных субъектах Российской Федерации;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д) повышение открытости для граждан и общественности результатов работы органов власти в сфере развития городской среды и создание основы для оценки эффективности их работы в этой сфере, в том числе в рамках реализации приоритетного проекта;</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е) стимулирование граждан, представителей бизнеса к их вовлечению в реализацию мероприятий по благоустройству муниципальных образований.</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1.5. Индекс формируется исходя из следующих основных подходов:</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а) информация, используемая для расчета Индекса, является актуальной, постоянно обновляемой, достоверной и верифицируемой, содержащейся в том числе в государственных информационных системах;</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б) свободный доступ к информации об Индексе, в том числе к информации, на основании которой он был сформирован, неопределенного круга лиц;</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в) осуществление оценки на основе комплексного анализа, позволяющего получить наиболее полное представление о всех наиболее значимых составляющих городской среды муниципального образования;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lastRenderedPageBreak/>
        <w:t>г) использование только рассчитываемых индикаторов, исключающее субъективный характер оценки и обеспечивающее их достоверность и объективность.</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1.6. Для расчета индикаторов используются данные, содержащиеся в следующих государственных информационных системах, а также в открытых источниках:</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а) государственная информационная система ЖКХ (ГИС ЖКХ);</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б) официальная статистическая информация (http://www.gks.ru);</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в) информация из открытых источников (</w:t>
      </w:r>
      <w:proofErr w:type="spellStart"/>
      <w:r w:rsidRPr="00263012">
        <w:rPr>
          <w:rFonts w:ascii="Arial" w:eastAsia="Times New Roman" w:hAnsi="Arial" w:cs="Arial"/>
          <w:color w:val="222222"/>
          <w:sz w:val="24"/>
          <w:szCs w:val="24"/>
          <w:lang w:eastAsia="ru-RU"/>
        </w:rPr>
        <w:t>Yandex</w:t>
      </w:r>
      <w:proofErr w:type="spellEnd"/>
      <w:r w:rsidRPr="00263012">
        <w:rPr>
          <w:rFonts w:ascii="Arial" w:eastAsia="Times New Roman" w:hAnsi="Arial" w:cs="Arial"/>
          <w:color w:val="222222"/>
          <w:sz w:val="24"/>
          <w:szCs w:val="24"/>
          <w:lang w:eastAsia="ru-RU"/>
        </w:rPr>
        <w:t xml:space="preserve">, </w:t>
      </w:r>
      <w:proofErr w:type="spellStart"/>
      <w:r w:rsidRPr="00263012">
        <w:rPr>
          <w:rFonts w:ascii="Arial" w:eastAsia="Times New Roman" w:hAnsi="Arial" w:cs="Arial"/>
          <w:color w:val="222222"/>
          <w:sz w:val="24"/>
          <w:szCs w:val="24"/>
          <w:lang w:eastAsia="ru-RU"/>
        </w:rPr>
        <w:t>Google</w:t>
      </w:r>
      <w:proofErr w:type="spellEnd"/>
      <w:r w:rsidRPr="00263012">
        <w:rPr>
          <w:rFonts w:ascii="Arial" w:eastAsia="Times New Roman" w:hAnsi="Arial" w:cs="Arial"/>
          <w:color w:val="222222"/>
          <w:sz w:val="24"/>
          <w:szCs w:val="24"/>
          <w:lang w:eastAsia="ru-RU"/>
        </w:rPr>
        <w:t xml:space="preserve">, 2GIS, </w:t>
      </w:r>
      <w:proofErr w:type="spellStart"/>
      <w:r w:rsidRPr="00263012">
        <w:rPr>
          <w:rFonts w:ascii="Arial" w:eastAsia="Times New Roman" w:hAnsi="Arial" w:cs="Arial"/>
          <w:color w:val="222222"/>
          <w:sz w:val="24"/>
          <w:szCs w:val="24"/>
          <w:lang w:eastAsia="ru-RU"/>
        </w:rPr>
        <w:t>Вконтакте</w:t>
      </w:r>
      <w:proofErr w:type="spellEnd"/>
      <w:r w:rsidRPr="00263012">
        <w:rPr>
          <w:rFonts w:ascii="Arial" w:eastAsia="Times New Roman" w:hAnsi="Arial" w:cs="Arial"/>
          <w:color w:val="222222"/>
          <w:sz w:val="24"/>
          <w:szCs w:val="24"/>
          <w:lang w:eastAsia="ru-RU"/>
        </w:rPr>
        <w:t xml:space="preserve">, </w:t>
      </w:r>
      <w:proofErr w:type="spellStart"/>
      <w:r w:rsidRPr="00263012">
        <w:rPr>
          <w:rFonts w:ascii="Arial" w:eastAsia="Times New Roman" w:hAnsi="Arial" w:cs="Arial"/>
          <w:color w:val="222222"/>
          <w:sz w:val="24"/>
          <w:szCs w:val="24"/>
          <w:lang w:eastAsia="ru-RU"/>
        </w:rPr>
        <w:t>OpenStreetMap</w:t>
      </w:r>
      <w:proofErr w:type="spellEnd"/>
      <w:r w:rsidRPr="00263012">
        <w:rPr>
          <w:rFonts w:ascii="Arial" w:eastAsia="Times New Roman" w:hAnsi="Arial" w:cs="Arial"/>
          <w:color w:val="222222"/>
          <w:sz w:val="24"/>
          <w:szCs w:val="24"/>
          <w:lang w:eastAsia="ru-RU"/>
        </w:rPr>
        <w:t xml:space="preserve">, данные дистанционного зондирования земли </w:t>
      </w:r>
      <w:proofErr w:type="spellStart"/>
      <w:r w:rsidRPr="00263012">
        <w:rPr>
          <w:rFonts w:ascii="Arial" w:eastAsia="Times New Roman" w:hAnsi="Arial" w:cs="Arial"/>
          <w:color w:val="222222"/>
          <w:sz w:val="24"/>
          <w:szCs w:val="24"/>
          <w:lang w:eastAsia="ru-RU"/>
        </w:rPr>
        <w:t>Copernicus</w:t>
      </w:r>
      <w:proofErr w:type="spellEnd"/>
      <w:r w:rsidRPr="00263012">
        <w:rPr>
          <w:rFonts w:ascii="Arial" w:eastAsia="Times New Roman" w:hAnsi="Arial" w:cs="Arial"/>
          <w:color w:val="222222"/>
          <w:sz w:val="24"/>
          <w:szCs w:val="24"/>
          <w:lang w:eastAsia="ru-RU"/>
        </w:rPr>
        <w:t xml:space="preserve"> </w:t>
      </w:r>
      <w:proofErr w:type="spellStart"/>
      <w:r w:rsidRPr="00263012">
        <w:rPr>
          <w:rFonts w:ascii="Arial" w:eastAsia="Times New Roman" w:hAnsi="Arial" w:cs="Arial"/>
          <w:color w:val="222222"/>
          <w:sz w:val="24"/>
          <w:szCs w:val="24"/>
          <w:lang w:eastAsia="ru-RU"/>
        </w:rPr>
        <w:t>Open</w:t>
      </w:r>
      <w:proofErr w:type="spellEnd"/>
      <w:r w:rsidRPr="00263012">
        <w:rPr>
          <w:rFonts w:ascii="Arial" w:eastAsia="Times New Roman" w:hAnsi="Arial" w:cs="Arial"/>
          <w:color w:val="222222"/>
          <w:sz w:val="24"/>
          <w:szCs w:val="24"/>
          <w:lang w:eastAsia="ru-RU"/>
        </w:rPr>
        <w:t xml:space="preserve"> </w:t>
      </w:r>
      <w:proofErr w:type="spellStart"/>
      <w:r w:rsidRPr="00263012">
        <w:rPr>
          <w:rFonts w:ascii="Arial" w:eastAsia="Times New Roman" w:hAnsi="Arial" w:cs="Arial"/>
          <w:color w:val="222222"/>
          <w:sz w:val="24"/>
          <w:szCs w:val="24"/>
          <w:lang w:eastAsia="ru-RU"/>
        </w:rPr>
        <w:t>Access</w:t>
      </w:r>
      <w:proofErr w:type="spellEnd"/>
      <w:r w:rsidRPr="00263012">
        <w:rPr>
          <w:rFonts w:ascii="Arial" w:eastAsia="Times New Roman" w:hAnsi="Arial" w:cs="Arial"/>
          <w:color w:val="222222"/>
          <w:sz w:val="24"/>
          <w:szCs w:val="24"/>
          <w:lang w:eastAsia="ru-RU"/>
        </w:rPr>
        <w:t xml:space="preserve"> </w:t>
      </w:r>
      <w:proofErr w:type="spellStart"/>
      <w:r w:rsidRPr="00263012">
        <w:rPr>
          <w:rFonts w:ascii="Arial" w:eastAsia="Times New Roman" w:hAnsi="Arial" w:cs="Arial"/>
          <w:color w:val="222222"/>
          <w:sz w:val="24"/>
          <w:szCs w:val="24"/>
          <w:lang w:eastAsia="ru-RU"/>
        </w:rPr>
        <w:t>Hub</w:t>
      </w:r>
      <w:proofErr w:type="spellEnd"/>
      <w:r w:rsidRPr="00263012">
        <w:rPr>
          <w:rFonts w:ascii="Arial" w:eastAsia="Times New Roman" w:hAnsi="Arial" w:cs="Arial"/>
          <w:color w:val="222222"/>
          <w:sz w:val="24"/>
          <w:szCs w:val="24"/>
          <w:lang w:eastAsia="ru-RU"/>
        </w:rPr>
        <w:t>, ГЛОНАСС, GPS, Реформа ЖКХ).</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2. Описание структуры Индекса и порядок его присвоения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2.1. Индекс оценивает городскую среду в целом, во всей ее полноте, поэтому при его подсчете используется информация, относящаяся к различным аспектам функционирования муниципального образования.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2.2. Расчет Индекса осуществляется на основании значений индикаторов, указанных в таблице N 1 приложения к настоящей Методике.</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2.3. Общим требованием к индикаторам является возможность их определения или расчета с использованием массивов информации, содержащихся в государственных информационных системах, открытых источниках. Информация необходимая для формирования каждого индикатора должна быть равно доступной для всех территорий населенных пунктов, входящих в состав муниципального образования.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2.4. Индикаторы, предусмотренные пунктами 1 - 30 N 1 таблицы приложения к настоящей Методике, применяются при расчете Индекса по следующим направлениям:</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а) индикаторы, определяющие общий уровень угрозы для жизни и здоровья пребывающих в пространстве муниципального образования людей в связи с разного рода рисками, вызванными несовершенством его инфраструктуры или наличием социальных проблем;</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б) индикаторы, позволяющие оценить уровень бытового, повседневного комфорта и удобства, которые муниципальное образование обеспечивает для жителей и гостей;</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в) индикаторы, определяющие, в какой мере использование территории муниципального образования соответствует принципу сохранения и улучшения окружающей" среды, а также измеряющие состояние экологии на момент оценки;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г) индикаторы, отвечающие за оценку своеобразия и узнаваемости территорий, а также определяющие вариативность пространственных решений и функциональное разнообразие городской среды;</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д) индикаторы, измеряющие параметры, которые описывают муниципальное образование с точки зрения возможностей, которые оно предоставляет жителям. Показатели позволяют определить, используется ли устаревшая модель производства среды или новую модель, в которой одна из базовых ценностей развития города.</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2.5. В отношении муниципальных образований, включающих в себя населенные пункты, имеющие статус города, Индекс определяется на основании значений Индикаторов, предусмотренных пунктами 1 - 30 таблицы N 1 приложения к настоящей Методике, рассчитанных в отношении населенных пунктов, имеющих статус города, а также Индикаторов, предусмотренных пунктами 31 - 41 таблицы N 1 приложения, рассчитанных в отношении муниципальных образований в целом, по следующей формуле:</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 xml:space="preserve">2.6. В отношении муниципальных образований, не имеющих в составе населенных пунктов со статусом город, Индекс определяется на основании значений </w:t>
      </w:r>
      <w:r w:rsidRPr="00263012">
        <w:rPr>
          <w:rFonts w:ascii="Arial" w:eastAsia="Times New Roman" w:hAnsi="Arial" w:cs="Arial"/>
          <w:color w:val="222222"/>
          <w:sz w:val="24"/>
          <w:szCs w:val="24"/>
          <w:lang w:eastAsia="ru-RU"/>
        </w:rPr>
        <w:lastRenderedPageBreak/>
        <w:t>Индикаторов, предусмотренных пунктами 1, 2, 7, 12, 16, 28 таблицы N 1 приложения к настоящей Методике, по следующей формуле:</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2.7. Индикаторы, предусмотренные пунктами 1 - 30 таблицы N 1 приложения к настоящей Методике, в отношении населенных пунктов, имеющих статус города, рассчитываются применительно к следующим территориям города:</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а) индикаторы, предусмотренные пунктами 1 - 5 таблицы N 1 приложения к настоящей Методике, оценивают состояние среды жилья и прилегающих пространств (жилые дома и придомовые территории);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б) индикаторы, предусмотренные пунктами 6 - 10 таблицы N 1 приложения к настоящей Методике, оценивают состояние среды уличной инфраструктуры, а именно городские улицы разного типа, включая территории между фасадами зданий, за исключением дорожного полотна. Уличная инфраструктура оценивается отдельно и вне зависимости от расположения в том или ином пространстве города;</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в) индикаторы, предусмотренные пунктами 11 - 15 таблицы N 1 приложения к настоящей Методике, оценивают состояние среды озелененных и прибрежных пространств, а именно территории города, покрытые растительностью, включая парки, скверы, леса, а также территории, прилегающие к городским водоемам;</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г) индикаторы, предусмотренные пунктами 16 - 20 таблицы N 1 приложения к настоящей Методике, оценивают состояние среды общественно-деловой инфраструктуры и прилегающих пространств, а именно, территории, примыкающие к административным, деловым, торговым объектам, а также места общественного питания, объекты сервиса и услуг;</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 xml:space="preserve">д) индикаторы, предусмотренные пунктами 21 - 25 таблицы N 1 приложения к настоящей Методике, оценивают состояние среды социально-досуговой инфраструктуры и прилегающих пространств, а именно территории, примыкающие к </w:t>
      </w:r>
      <w:proofErr w:type="spellStart"/>
      <w:r w:rsidRPr="00263012">
        <w:rPr>
          <w:rFonts w:ascii="Arial" w:eastAsia="Times New Roman" w:hAnsi="Arial" w:cs="Arial"/>
          <w:color w:val="222222"/>
          <w:sz w:val="24"/>
          <w:szCs w:val="24"/>
          <w:lang w:eastAsia="ru-RU"/>
        </w:rPr>
        <w:t>воспитательно</w:t>
      </w:r>
      <w:proofErr w:type="spellEnd"/>
      <w:r w:rsidRPr="00263012">
        <w:rPr>
          <w:rFonts w:ascii="Arial" w:eastAsia="Times New Roman" w:hAnsi="Arial" w:cs="Arial"/>
          <w:color w:val="222222"/>
          <w:sz w:val="24"/>
          <w:szCs w:val="24"/>
          <w:lang w:eastAsia="ru-RU"/>
        </w:rPr>
        <w:t>-образовательным (ясли, школы, вузы), медицинским и здравоохранительным учреждениям (больницы, оздоровительные лагеря, профилактории), к объектам спорта и рекреации (базы отдыха, стадионы, спортивные площадки и комплексы), к учреждениям культуры (кинотеатры, музеи, выставочные площадки), а также к объектам религиозного назначения;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е) индикаторы, предусмотренные пунктами 26 - 30 таблицы N 1 приложения к настоящей Методике, оценивают состояние среды общегородского пространства, включающего всю территорию в административных границах населенного пункта. Введение этого пространства необходимо для оценки общегородских характеристик качества среды, не относящихся напрямую ни к одному из типов пространств.</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2.8. Индикаторы, предусмотренные пунктами 31 - 40 N 1 таблицы приложения к настоящей Методике представляют собой:</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а) индикаторы, позволяющие оценить степень участия граждан и организаций в реализации приоритетного проекта, качество взаимодействия органов власти и населения в области благоустройства;</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б) индикаторы, позволяющие оценить эффективность исполнения субъектами Российской Федерации, муниципальными образованиями обязательств, взятых в рамках соглашений на 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 заключенных с Минстроем России.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2.9. Индикатор, предусмотренный пунктом 41 таблицы N 1 приложения к настоящей Методике, применяется при расчете Индекса в отношении муниципальных образований с численностью населения свыше 1000 человек, являющихся получателями в 2017 году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lastRenderedPageBreak/>
        <w:t>2.10. По результатам оценки каждого муниципального образования с использованием автоматизированной системы формируется лист оценки по форме согласно таблице N 2 приложения к настоящей Методике, отражающий конкретные цифровые показатели, присвоенные муниципальному образованию по соответствующим индикаторам (далее - лист оценки населенного пункта).</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2.11. На основании листов оценок муниципальных образований, сформированных в соответствии с пунктом 2.10 настоящей Методики, с использованием автоматизированной системы формируется Индекс по конкретному субъекту Российской Федерации и соответствующий лист оценки субъекта Российской Федерации по форме согласно таблице N 3 приложения к настоящей Методике.</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2.12. Результаты ранжирования муниципальных образований и субъектов Российской Федерации рассматриваются на Экспертном совете Министерства строительства и жилищно-коммунального хозяйства Российской Федерации по вопросам городской среды, и после этого публикуются на сайте Минстроя России. Подготовка материалов для рассмотрения на указанном совете осуществляется Департаментом городской среды Министерства строительства и жилищно-коммунального хозяйства Российской Федерации.</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Приложение</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к Методике определения индекса</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качества городской среды</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муниципальных образований</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Российской Федерации,</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утвержденной приказом</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Министерства строительства</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и жилищно-коммунального хозяйства</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Российской Федерации</w:t>
      </w:r>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от 31 октября 2017 г. N 1494/</w:t>
      </w:r>
      <w:proofErr w:type="spellStart"/>
      <w:r w:rsidRPr="00263012">
        <w:rPr>
          <w:rFonts w:ascii="Arial" w:eastAsia="Times New Roman" w:hAnsi="Arial" w:cs="Arial"/>
          <w:color w:val="222222"/>
          <w:sz w:val="24"/>
          <w:szCs w:val="24"/>
          <w:lang w:eastAsia="ru-RU"/>
        </w:rPr>
        <w:t>пр</w:t>
      </w:r>
      <w:proofErr w:type="spellEnd"/>
    </w:p>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Таблица N 1</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Перечень индикаторов для расчета индекса качества городской</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среды и порядок их расчета на 2017 год</w:t>
      </w:r>
    </w:p>
    <w:tbl>
      <w:tblPr>
        <w:tblW w:w="17000" w:type="dxa"/>
        <w:shd w:val="clear" w:color="auto" w:fill="FFFFFF"/>
        <w:tblCellMar>
          <w:left w:w="0" w:type="dxa"/>
          <w:right w:w="0" w:type="dxa"/>
        </w:tblCellMar>
        <w:tblLook w:val="04A0" w:firstRow="1" w:lastRow="0" w:firstColumn="1" w:lastColumn="0" w:noHBand="0" w:noVBand="1"/>
      </w:tblPr>
      <w:tblGrid>
        <w:gridCol w:w="1306"/>
        <w:gridCol w:w="1728"/>
        <w:gridCol w:w="2378"/>
        <w:gridCol w:w="2060"/>
        <w:gridCol w:w="2015"/>
        <w:gridCol w:w="1788"/>
        <w:gridCol w:w="1172"/>
        <w:gridCol w:w="1883"/>
        <w:gridCol w:w="1893"/>
        <w:gridCol w:w="2378"/>
      </w:tblGrid>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N индикатора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Категория (город, городские поселения, сельские поселения)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Индикатор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Алгоритм формирования (формула расчета)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Базовые показатели (используемые в формуле)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Временные характеристики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Единицы измерения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Метод сбора информации (источник данных)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Дополнительные источники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Как оценивается значение индикатора</w:t>
            </w: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 населения, живущего в аварийном жилье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0670976B" wp14:editId="55FFE91D">
                  <wp:extent cx="409575" cy="571500"/>
                  <wp:effectExtent l="0" t="0" r="9525" b="0"/>
                  <wp:docPr id="1" name="Рисунок 1" descr="http://rulaws.ru/static/Images/282529_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laws.ru/static/Images/282529_00000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Чi</w:t>
            </w:r>
            <w:proofErr w:type="spellEnd"/>
            <w:r w:rsidRPr="00263012">
              <w:rPr>
                <w:rFonts w:ascii="inherit" w:eastAsia="Times New Roman" w:hAnsi="inherit" w:cs="Arial"/>
                <w:color w:val="222222"/>
                <w:sz w:val="24"/>
                <w:szCs w:val="24"/>
                <w:lang w:eastAsia="ru-RU"/>
              </w:rPr>
              <w:t xml:space="preserve"> - численность населения в муниципальном образовании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Индикатор характеризует качество жилья, которое является одним из главных показателей комфортности проживания в населенном пункте</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Чмо - численность населения, живущего в аварийном фонде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Минстрой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 жилого фонда, обеспеченного централизованными услугами тепло-, водо-, электроснабжения, водоотведения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Удельный вес общей площади жилых помещений, оборудованных отоплением, </w:t>
            </w:r>
            <w:r w:rsidRPr="00263012">
              <w:rPr>
                <w:rFonts w:ascii="inherit" w:eastAsia="Times New Roman" w:hAnsi="inherit" w:cs="Arial"/>
                <w:color w:val="222222"/>
                <w:sz w:val="24"/>
                <w:szCs w:val="24"/>
                <w:lang w:eastAsia="ru-RU"/>
              </w:rPr>
              <w:lastRenderedPageBreak/>
              <w:t>канализацией и отоплением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lastRenderedPageBreak/>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Индикатор характеризует качество обеспечения гражданина услугами жизнеобеспечения, что является одним из главных показателей </w:t>
            </w:r>
            <w:r w:rsidRPr="00263012">
              <w:rPr>
                <w:rFonts w:ascii="inherit" w:eastAsia="Times New Roman" w:hAnsi="inherit" w:cs="Arial"/>
                <w:color w:val="222222"/>
                <w:sz w:val="24"/>
                <w:szCs w:val="24"/>
                <w:lang w:eastAsia="ru-RU"/>
              </w:rPr>
              <w:lastRenderedPageBreak/>
              <w:t>комфортности проживания в населенном пункте</w:t>
            </w: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3</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вывезенных твердых коммунальных отходов (далее - ТКО) на душу населения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286DA5CF" wp14:editId="00C8FBD7">
                  <wp:extent cx="209550" cy="400050"/>
                  <wp:effectExtent l="0" t="0" r="0" b="0"/>
                  <wp:docPr id="2" name="Рисунок 2" descr="http://rulaws.ru/static/Images/282529_00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laws.ru/static/Images/282529_00000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4000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Ti</w:t>
            </w:r>
            <w:proofErr w:type="spellEnd"/>
            <w:r w:rsidRPr="00263012">
              <w:rPr>
                <w:rFonts w:ascii="inherit" w:eastAsia="Times New Roman" w:hAnsi="inherit" w:cs="Arial"/>
                <w:color w:val="222222"/>
                <w:sz w:val="24"/>
                <w:szCs w:val="24"/>
                <w:lang w:eastAsia="ru-RU"/>
              </w:rPr>
              <w:t xml:space="preserve"> - количество вывезенных ТКО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Индикатор используется для оценки экологической ситуации в жилых районах города, генерирующих основной массив твердых коммунальных отходов. Оценивает, как эффективность работы коммунальных служб, так и наличие скоплений мусора в жилых районах. Увеличение объема вывоза мусора на душу населения ведет к повышению качества среды в жилых районах и стимулирует улучшение экологической обстановки.</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 - численность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Разнообразие жилой застройки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noProof/>
                <w:color w:val="222222"/>
                <w:sz w:val="24"/>
                <w:szCs w:val="24"/>
                <w:lang w:eastAsia="ru-RU"/>
              </w:rPr>
              <w:drawing>
                <wp:inline distT="0" distB="0" distL="0" distR="0" wp14:anchorId="117ECA0C" wp14:editId="11EB676A">
                  <wp:extent cx="1295400" cy="495300"/>
                  <wp:effectExtent l="0" t="0" r="0" b="0"/>
                  <wp:docPr id="3" name="Рисунок 3" descr="http://rulaws.ru/static/Images/282529_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laws.ru/static/Images/282529_00000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h - количество жилых домов всех типов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Реформа 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Индикатор характеризует степень монотонности городской застройки. Увеличение показателей этого индикатора стимулирует городские власти к соблюдению градостроительных регламентов в городе и повышению общего качества проектов жилой застройки.</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h (1) и h (2) - количество жилых домов самого распространенного и второго самого распространенного типа за период 1959 - 1991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Реформа 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Разнообразие функций в жилой зоне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4819EBA7" wp14:editId="72278904">
                  <wp:extent cx="266700" cy="466725"/>
                  <wp:effectExtent l="0" t="0" r="0" b="9525"/>
                  <wp:docPr id="4" name="Рисунок 4" descr="http://rulaws.ru/static/Images/282529_000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laws.ru/static/Images/282529_000000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46672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Sfl</w:t>
            </w:r>
            <w:proofErr w:type="spellEnd"/>
            <w:r w:rsidRPr="00263012">
              <w:rPr>
                <w:rFonts w:ascii="inherit" w:eastAsia="Times New Roman" w:hAnsi="inherit" w:cs="Arial"/>
                <w:color w:val="222222"/>
                <w:sz w:val="24"/>
                <w:szCs w:val="24"/>
                <w:lang w:eastAsia="ru-RU"/>
              </w:rPr>
              <w:t xml:space="preserve"> - площадь функционально-разнообразных участков жилой зоны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Свидетельствует о наличии разнообразных сервисов в преимущественно </w:t>
            </w:r>
            <w:r w:rsidRPr="00263012">
              <w:rPr>
                <w:rFonts w:ascii="inherit" w:eastAsia="Times New Roman" w:hAnsi="inherit" w:cs="Arial"/>
                <w:color w:val="222222"/>
                <w:sz w:val="24"/>
                <w:szCs w:val="24"/>
                <w:lang w:eastAsia="ru-RU"/>
              </w:rPr>
              <w:lastRenderedPageBreak/>
              <w:t>жилых зонах. Чем большая площадь жилой зоны признается разнообразной, тем меньше в ней исключительно спальных монотонных районов.</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Stot</w:t>
            </w:r>
            <w:proofErr w:type="spellEnd"/>
            <w:r w:rsidRPr="00263012">
              <w:rPr>
                <w:rFonts w:ascii="inherit" w:eastAsia="Times New Roman" w:hAnsi="inherit" w:cs="Arial"/>
                <w:color w:val="222222"/>
                <w:sz w:val="24"/>
                <w:szCs w:val="24"/>
                <w:lang w:eastAsia="ru-RU"/>
              </w:rPr>
              <w:t xml:space="preserve"> - площадь жилой зоны, общая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ДТП с участием пешеходов со смертельным исходом на душу населения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25722F79" wp14:editId="4BB7F4EF">
                  <wp:extent cx="228600" cy="400050"/>
                  <wp:effectExtent l="0" t="0" r="0" b="0"/>
                  <wp:docPr id="5" name="Рисунок 5" descr="http://rulaws.ru/static/Images/282529_0000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laws.ru/static/Images/282529_00000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Дi</w:t>
            </w:r>
            <w:proofErr w:type="spellEnd"/>
            <w:r w:rsidRPr="00263012">
              <w:rPr>
                <w:rFonts w:ascii="inherit" w:eastAsia="Times New Roman" w:hAnsi="inherit" w:cs="Arial"/>
                <w:color w:val="222222"/>
                <w:sz w:val="24"/>
                <w:szCs w:val="24"/>
                <w:lang w:eastAsia="ru-RU"/>
              </w:rPr>
              <w:t xml:space="preserve"> - количество ДТП с участием пешеходов со смертельным исходом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МВД России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Показатель характеризует безопасность улично-дорожной сети города. Чем больше количество таких ДТП, тем более опасными являются дорожная ситуация и устройство улично-дорожной сети для пешеходов.</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 - численность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улично-дорожной сети, обеспеченной ливневой канализацией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noProof/>
                <w:color w:val="222222"/>
                <w:sz w:val="24"/>
                <w:szCs w:val="24"/>
                <w:lang w:eastAsia="ru-RU"/>
              </w:rPr>
              <w:drawing>
                <wp:inline distT="0" distB="0" distL="0" distR="0" wp14:anchorId="28940B93" wp14:editId="3403AF5A">
                  <wp:extent cx="800100" cy="457200"/>
                  <wp:effectExtent l="0" t="0" r="0" b="0"/>
                  <wp:docPr id="6" name="Рисунок 6" descr="http://rulaws.ru/static/Images/282529_0000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laws.ru/static/Images/282529_000000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Пудс</w:t>
            </w:r>
            <w:proofErr w:type="spellEnd"/>
            <w:r w:rsidRPr="00263012">
              <w:rPr>
                <w:rFonts w:ascii="inherit" w:eastAsia="Times New Roman" w:hAnsi="inherit" w:cs="Arial"/>
                <w:color w:val="222222"/>
                <w:sz w:val="24"/>
                <w:szCs w:val="24"/>
                <w:lang w:eastAsia="ru-RU"/>
              </w:rPr>
              <w:t xml:space="preserve"> - общая протяженность улиц, проездов, набережных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Наличие ливневой канализации является подтверждением качества улично-дорожной сети, ее удобства, в том числе для пешеходов. Высокий уровень обеспеченности улично-дорожной сети ливневой канализации свидетельствует о комфорте передвижения в общественных пространствах, снижает риск затопления улиц, проездов, набережных в условиях интенсивного выпадения осадков</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Пк</w:t>
            </w:r>
            <w:proofErr w:type="spellEnd"/>
            <w:r w:rsidRPr="00263012">
              <w:rPr>
                <w:rFonts w:ascii="inherit" w:eastAsia="Times New Roman" w:hAnsi="inherit" w:cs="Arial"/>
                <w:color w:val="222222"/>
                <w:sz w:val="24"/>
                <w:szCs w:val="24"/>
                <w:lang w:eastAsia="ru-RU"/>
              </w:rPr>
              <w:t xml:space="preserve"> - общая протяженность ливневой канализации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Загруженность дорог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noProof/>
                <w:color w:val="222222"/>
                <w:sz w:val="24"/>
                <w:szCs w:val="24"/>
                <w:lang w:eastAsia="ru-RU"/>
              </w:rPr>
              <w:drawing>
                <wp:inline distT="0" distB="0" distL="0" distR="0" wp14:anchorId="528CDF57" wp14:editId="79D22215">
                  <wp:extent cx="923925" cy="447675"/>
                  <wp:effectExtent l="0" t="0" r="9525" b="9525"/>
                  <wp:docPr id="7" name="Рисунок 7" descr="http://rulaws.ru/static/Images/282529_000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laws.ru/static/Images/282529_000000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Медианное значение загрузки дорог в течение четырех месяцев года (февраль, апрель, июль, ноябрь)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Балл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ГЛОНАСС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GPS</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Характеризует наличие транспортных проблем при передвижении в городе и свидетельствует о наличии постоянных </w:t>
            </w:r>
            <w:r w:rsidRPr="00263012">
              <w:rPr>
                <w:rFonts w:ascii="inherit" w:eastAsia="Times New Roman" w:hAnsi="inherit" w:cs="Arial"/>
                <w:color w:val="222222"/>
                <w:sz w:val="24"/>
                <w:szCs w:val="24"/>
                <w:lang w:eastAsia="ru-RU"/>
              </w:rPr>
              <w:lastRenderedPageBreak/>
              <w:t>источников выбросов вредных веществ в атмосферу и общего загрязнения города. Уменьшение числа дорожных заторов значительно улучшает экологию города, в частности состояние атмосферы вдоль дорог.</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улиц с развитой сферой услуг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noProof/>
                <w:color w:val="222222"/>
                <w:sz w:val="24"/>
                <w:szCs w:val="24"/>
                <w:lang w:eastAsia="ru-RU"/>
              </w:rPr>
              <w:drawing>
                <wp:inline distT="0" distB="0" distL="0" distR="0" wp14:anchorId="0160FDC0" wp14:editId="6FB92598">
                  <wp:extent cx="352425" cy="247650"/>
                  <wp:effectExtent l="0" t="0" r="9525" b="0"/>
                  <wp:docPr id="8" name="Рисунок 8" descr="http://rulaws.ru/static/Images/282529_0000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laws.ru/static/Images/282529_000000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Сумма улиц с развитой сферой услуг в городе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Отражает наличие интересных для пешеходов пространств, разнообразие и идентичность городских улиц, повышая пешеходный поток, развитие городской экономики и общую безопасность городских улиц.</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Индекс пешеходной доступности</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Рассчитывается как отношение совокупной длины кратчайших пешеходных маршрутов от жилых домов с учетом топологии улично-дорожной сети к точкам притяжения (все объекты социальной и коммерческой инфраструктуры) в пределах 800-метровой зоны, к общей протяженности улично-дорожной сети города. Полученные в результате длинны маршрутов суммируются, и соотносятся с общей протяженностью улично-дорожной сети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Оценивает степень пешеходной доступности от жилых домов до объектов инфраструктуры, учитывая сложность геометрии УДС, наличие пешеходных переходов, тротуаров за 10 минут от каждого здания кратчайшим путем по улично-дорожной сети (800 м).</w:t>
            </w: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озелененных территорий общего пользования (парки, сады и др.) в площади всех зеленых насаждений в целом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00F36CDF" wp14:editId="2C8CDBDD">
                  <wp:extent cx="733425" cy="400050"/>
                  <wp:effectExtent l="0" t="0" r="9525" b="0"/>
                  <wp:docPr id="9" name="Рисунок 9" descr="http://rulaws.ru/static/Images/282529_000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laws.ru/static/Images/282529_00000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Ообщ</w:t>
            </w:r>
            <w:proofErr w:type="spellEnd"/>
            <w:r w:rsidRPr="00263012">
              <w:rPr>
                <w:rFonts w:ascii="inherit" w:eastAsia="Times New Roman" w:hAnsi="inherit" w:cs="Arial"/>
                <w:color w:val="222222"/>
                <w:sz w:val="24"/>
                <w:szCs w:val="24"/>
                <w:lang w:eastAsia="ru-RU"/>
              </w:rPr>
              <w:t xml:space="preserve"> - общая площадь зеленых насаждений общего пользования (парки, сады и др.), 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Оценивает потенциальную безопасность озелененных территорий города, выявляя долю территорий, к которым не применяются такие требования качества, как освещение, охрана, комфорт передвижения и др., и остаются территориями потенциальной </w:t>
            </w:r>
            <w:r w:rsidRPr="00263012">
              <w:rPr>
                <w:rFonts w:ascii="inherit" w:eastAsia="Times New Roman" w:hAnsi="inherit" w:cs="Arial"/>
                <w:color w:val="222222"/>
                <w:sz w:val="24"/>
                <w:szCs w:val="24"/>
                <w:lang w:eastAsia="ru-RU"/>
              </w:rPr>
              <w:lastRenderedPageBreak/>
              <w:t>опасности (лесные массивы, лесополосы).</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Овс</w:t>
            </w:r>
            <w:proofErr w:type="spellEnd"/>
            <w:r w:rsidRPr="00263012">
              <w:rPr>
                <w:rFonts w:ascii="inherit" w:eastAsia="Times New Roman" w:hAnsi="inherit" w:cs="Arial"/>
                <w:color w:val="222222"/>
                <w:sz w:val="24"/>
                <w:szCs w:val="24"/>
                <w:lang w:eastAsia="ru-RU"/>
              </w:rPr>
              <w:t xml:space="preserve"> - площадь всех зеленых насаждений, 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Доступность парков или обустроенного природного ландшафта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Вычисляется как доля населения, проживающего в радиусе 800 метров от границ парков, от общего количества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Расстояние от центра масс населения до входа в парк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Возможность часто и без затрат времени на транспорт посещать парки или естественный природный ландшафт для прогулок, занятий спортом, тихого отдыха, или работы вне офиса, делает жизнь удобнее.</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зеленых насаждений</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Рассчитывается на основе дешифрирования космических снимков и вычисления вегетационного индекса, как доля территории с озелененными насаждениями повышенной плотности биомассы от общей площади озеленения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Данные дистанционного зондирование земли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Оценивает </w:t>
            </w:r>
            <w:proofErr w:type="spellStart"/>
            <w:r w:rsidRPr="00263012">
              <w:rPr>
                <w:rFonts w:ascii="inherit" w:eastAsia="Times New Roman" w:hAnsi="inherit" w:cs="Arial"/>
                <w:color w:val="222222"/>
                <w:sz w:val="24"/>
                <w:szCs w:val="24"/>
                <w:lang w:eastAsia="ru-RU"/>
              </w:rPr>
              <w:t>биопродуктивность</w:t>
            </w:r>
            <w:proofErr w:type="spellEnd"/>
            <w:r w:rsidRPr="00263012">
              <w:rPr>
                <w:rFonts w:ascii="inherit" w:eastAsia="Times New Roman" w:hAnsi="inherit" w:cs="Arial"/>
                <w:color w:val="222222"/>
                <w:sz w:val="24"/>
                <w:szCs w:val="24"/>
                <w:lang w:eastAsia="ru-RU"/>
              </w:rPr>
              <w:t xml:space="preserve"> зеленых насаждений как прямое следствие всего состояния природной </w:t>
            </w:r>
            <w:proofErr w:type="spellStart"/>
            <w:r w:rsidRPr="00263012">
              <w:rPr>
                <w:rFonts w:ascii="inherit" w:eastAsia="Times New Roman" w:hAnsi="inherit" w:cs="Arial"/>
                <w:color w:val="222222"/>
                <w:sz w:val="24"/>
                <w:szCs w:val="24"/>
                <w:lang w:eastAsia="ru-RU"/>
              </w:rPr>
              <w:t>риродно</w:t>
            </w:r>
            <w:proofErr w:type="spellEnd"/>
            <w:r w:rsidRPr="00263012">
              <w:rPr>
                <w:rFonts w:ascii="inherit" w:eastAsia="Times New Roman" w:hAnsi="inherit" w:cs="Arial"/>
                <w:color w:val="222222"/>
                <w:sz w:val="24"/>
                <w:szCs w:val="24"/>
                <w:lang w:eastAsia="ru-RU"/>
              </w:rPr>
              <w:t xml:space="preserve"> непосредственно связанной с состоянием атмосферы, уровнем загрязнения почв и поверхностных вод в городе.</w:t>
            </w: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фотографий из социальных сетей, сделанных горожанами на озелененных территориях</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15A44A62" wp14:editId="58A3B543">
                  <wp:extent cx="495300" cy="447675"/>
                  <wp:effectExtent l="0" t="0" r="0" b="9525"/>
                  <wp:docPr id="10" name="Рисунок 10" descr="http://rulaws.ru/static/Images/282529_0000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laws.ru/static/Images/282529_000000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Фi</w:t>
            </w:r>
            <w:proofErr w:type="spellEnd"/>
            <w:r w:rsidRPr="00263012">
              <w:rPr>
                <w:rFonts w:ascii="inherit" w:eastAsia="Times New Roman" w:hAnsi="inherit" w:cs="Arial"/>
                <w:color w:val="222222"/>
                <w:sz w:val="24"/>
                <w:szCs w:val="24"/>
                <w:lang w:eastAsia="ru-RU"/>
              </w:rPr>
              <w:t xml:space="preserve"> - все фотографии за год в границах озелененных территорий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Социальные сети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Используется для оценки разнообразия и идентичности озелененных пространств. Чем больше создано условий и предпосылок для привлечения горожан в парки, тем больше фотографий приходится на этот тип пространств.</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Овс</w:t>
            </w:r>
            <w:proofErr w:type="spellEnd"/>
            <w:r w:rsidRPr="00263012">
              <w:rPr>
                <w:rFonts w:ascii="inherit" w:eastAsia="Times New Roman" w:hAnsi="inherit" w:cs="Arial"/>
                <w:color w:val="222222"/>
                <w:sz w:val="24"/>
                <w:szCs w:val="24"/>
                <w:lang w:eastAsia="ru-RU"/>
              </w:rPr>
              <w:t xml:space="preserve"> - площадь озелененных территорий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разнообразных услуг для горожан на озелененных территориях</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5AC64663" wp14:editId="0550E64F">
                  <wp:extent cx="485775" cy="438150"/>
                  <wp:effectExtent l="0" t="0" r="9525" b="0"/>
                  <wp:docPr id="11" name="Рисунок 11" descr="http://rulaws.ru/static/Images/282529_00000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laws.ru/static/Images/282529_000000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Сi</w:t>
            </w:r>
            <w:proofErr w:type="spellEnd"/>
            <w:r w:rsidRPr="00263012">
              <w:rPr>
                <w:rFonts w:ascii="inherit" w:eastAsia="Times New Roman" w:hAnsi="inherit" w:cs="Arial"/>
                <w:color w:val="222222"/>
                <w:sz w:val="24"/>
                <w:szCs w:val="24"/>
                <w:lang w:eastAsia="ru-RU"/>
              </w:rPr>
              <w:t xml:space="preserve"> - все сервисы, расположенные в границах озелененных территорий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Используется для оценки современности среды городских озелененных территорий. Парки и скверы - это полноценные общественные пространства для удовлетворения различных </w:t>
            </w:r>
            <w:r w:rsidRPr="00263012">
              <w:rPr>
                <w:rFonts w:ascii="inherit" w:eastAsia="Times New Roman" w:hAnsi="inherit" w:cs="Arial"/>
                <w:color w:val="222222"/>
                <w:sz w:val="24"/>
                <w:szCs w:val="24"/>
                <w:lang w:eastAsia="ru-RU"/>
              </w:rPr>
              <w:lastRenderedPageBreak/>
              <w:t>потребностей разных социокультурных групп горожан.</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Овс</w:t>
            </w:r>
            <w:proofErr w:type="spellEnd"/>
            <w:r w:rsidRPr="00263012">
              <w:rPr>
                <w:rFonts w:ascii="inherit" w:eastAsia="Times New Roman" w:hAnsi="inherit" w:cs="Arial"/>
                <w:color w:val="222222"/>
                <w:sz w:val="24"/>
                <w:szCs w:val="24"/>
                <w:lang w:eastAsia="ru-RU"/>
              </w:rPr>
              <w:t xml:space="preserve"> - площадь озелененных территорий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16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освещенных частей улиц, проездов, набережных на конец года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038718AD" wp14:editId="210ECFFC">
                  <wp:extent cx="809625" cy="447675"/>
                  <wp:effectExtent l="0" t="0" r="9525" b="9525"/>
                  <wp:docPr id="12" name="Рисунок 12" descr="http://rulaws.ru/static/Images/282529_0000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laws.ru/static/Images/282529_000000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Посв</w:t>
            </w:r>
            <w:proofErr w:type="spellEnd"/>
            <w:r w:rsidRPr="00263012">
              <w:rPr>
                <w:rFonts w:ascii="inherit" w:eastAsia="Times New Roman" w:hAnsi="inherit" w:cs="Arial"/>
                <w:color w:val="222222"/>
                <w:sz w:val="24"/>
                <w:szCs w:val="24"/>
                <w:lang w:eastAsia="ru-RU"/>
              </w:rPr>
              <w:t xml:space="preserve"> - общая протяженность освещенных частей улиц, проездов, набережных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Хорошо организованное освещение снижает угрозы, связанные с криминалом, способствует продлению времени социальной и коммерческой активности в городе.</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ПМО - общая протяженность улиц, проездов, набережных в муниципальном образовании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общественно-деловых районов с многофункциональной средой</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Рассчитывается как доля площади города, где общественно-деловые функции составляют более 20% (при этом жилых функций не менее 20%), от общей площади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Оценивается доля пространств, которые развиваются согласно принципам многофункциональной городской среды. Смешанное использование городских площадей - необходимое и жизненное условие оздоровления городского пространства. Это в равной мере важно, как для преимущественно жилых районов, которые не должны превращаться в исключительно спальные районы, так и для общественно-деловых районов, из которых зачастую уходит настоящая городская жизнь, вместе с жилыми пространствами</w:t>
            </w: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18</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площади города, убираемая механизированным способом</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70CA5267" wp14:editId="595E3DB2">
                  <wp:extent cx="466725" cy="400050"/>
                  <wp:effectExtent l="0" t="0" r="9525" b="0"/>
                  <wp:docPr id="13" name="Рисунок 13" descr="http://rulaws.ru/static/Images/282529_0000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laws.ru/static/Images/282529_000000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Умех</w:t>
            </w:r>
            <w:proofErr w:type="spellEnd"/>
            <w:r w:rsidRPr="00263012">
              <w:rPr>
                <w:rFonts w:ascii="inherit" w:eastAsia="Times New Roman" w:hAnsi="inherit" w:cs="Arial"/>
                <w:color w:val="222222"/>
                <w:sz w:val="24"/>
                <w:szCs w:val="24"/>
                <w:lang w:eastAsia="ru-RU"/>
              </w:rPr>
              <w:t xml:space="preserve"> - площадь города, убираемая механизированным способом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Оценивает чистоту городского пространства, принимая, что более высокая производительность </w:t>
            </w:r>
            <w:r w:rsidRPr="00263012">
              <w:rPr>
                <w:rFonts w:ascii="inherit" w:eastAsia="Times New Roman" w:hAnsi="inherit" w:cs="Arial"/>
                <w:color w:val="222222"/>
                <w:sz w:val="24"/>
                <w:szCs w:val="24"/>
                <w:lang w:eastAsia="ru-RU"/>
              </w:rPr>
              <w:lastRenderedPageBreak/>
              <w:t>работ в более короткие сроки сокращает количество пыли, снега (как чистого, так и загрязненного продуктами переработки топлива автомашин) и мусора на территориях.</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Пвс</w:t>
            </w:r>
            <w:proofErr w:type="spellEnd"/>
            <w:r w:rsidRPr="00263012">
              <w:rPr>
                <w:rFonts w:ascii="inherit" w:eastAsia="Times New Roman" w:hAnsi="inherit" w:cs="Arial"/>
                <w:color w:val="222222"/>
                <w:sz w:val="24"/>
                <w:szCs w:val="24"/>
                <w:lang w:eastAsia="ru-RU"/>
              </w:rPr>
              <w:t xml:space="preserve"> - площадь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19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Концентрация объектов культурного наследия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1CC8240B" wp14:editId="727130E7">
                  <wp:extent cx="485775" cy="438150"/>
                  <wp:effectExtent l="0" t="0" r="9525" b="0"/>
                  <wp:docPr id="14" name="Рисунок 14" descr="http://rulaws.ru/static/Images/282529_0000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laws.ru/static/Images/282529_000000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Кi</w:t>
            </w:r>
            <w:proofErr w:type="spellEnd"/>
            <w:r w:rsidRPr="00263012">
              <w:rPr>
                <w:rFonts w:ascii="inherit" w:eastAsia="Times New Roman" w:hAnsi="inherit" w:cs="Arial"/>
                <w:color w:val="222222"/>
                <w:sz w:val="24"/>
                <w:szCs w:val="24"/>
                <w:lang w:eastAsia="ru-RU"/>
              </w:rPr>
              <w:t xml:space="preserve"> - количество объектов культурного наследия федерального, регионального и местного значения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Минкультуры России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Наделение здания подобным статусом влечет за собой наложение на него особых условий использования, препятствующих его реконструкции и разрушению, связанных с охранным законодательством памятников истории и культуры. Такие объекты поддерживают уникальность облика города, рассказывают его историю, наполняют городскую ткань смыслами.</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Пвс</w:t>
            </w:r>
            <w:proofErr w:type="spellEnd"/>
            <w:r w:rsidRPr="00263012">
              <w:rPr>
                <w:rFonts w:ascii="inherit" w:eastAsia="Times New Roman" w:hAnsi="inherit" w:cs="Arial"/>
                <w:color w:val="222222"/>
                <w:sz w:val="24"/>
                <w:szCs w:val="24"/>
                <w:lang w:eastAsia="ru-RU"/>
              </w:rPr>
              <w:t xml:space="preserve"> - площадь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Уровень развития общественно-деловых районов города</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Рассчитывается как среднее значение количество функций в общественно-деловых районах с многофункциональной средой из индикатора N 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Используется как комплексный показатель качества общественно-деловой инфраструктуры и прилегающих пространств, оценивающий одновременно множество факторов: привлекательность для горожан, доступность арендной платы, конъюнктурное окружение. Оценивается концентрация функций, приходящихся на периметры общественно-делового пространства, </w:t>
            </w:r>
            <w:r w:rsidRPr="00263012">
              <w:rPr>
                <w:rFonts w:ascii="inherit" w:eastAsia="Times New Roman" w:hAnsi="inherit" w:cs="Arial"/>
                <w:color w:val="222222"/>
                <w:sz w:val="24"/>
                <w:szCs w:val="24"/>
                <w:lang w:eastAsia="ru-RU"/>
              </w:rPr>
              <w:lastRenderedPageBreak/>
              <w:t>учитывая также наличие жилых функций на этих территориях.</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Безопасность передвижения вблизи учреждений социального обслуживания населения</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Рассчитывается как сумма баллов, набранных за концентрацию пешеходных переходов в радиусе 200 метров и протяженности дорог 1-й категории в радиусе 300 метров (баллы даются в отрицательном значении) от объектов социальной инфраструктуры.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Оценивает качество городской инфраструктуры для посещения образовательных и медицинских учреждений.</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Разнообразие предоставляемых сервисов</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Рассчитывается при помощи коэффициента вариации (разнообразия) по количеству культурных и спортивных учреждений в городе. Чем больше в городе разных видов культурно-спортивных учреждений, тем больше коэффициент и, соответственно, выше показатель. Рассчитывается количество организаций каждого типа, и вычисляется отношение стандартного отклонения к среднему арифметическому значению и нормируется на численность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Оценивает доступность разнообразных культурно-спортивных функций для горожан. Оценивается как количество учреждений, так и разнообразие их видов.</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Доступность спортивных площадок для населения</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Вычисляется как доля населения, проживающего в радиусе 800 метров от спортивных площадок, от общего количества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Оценивает наличие в городской инфраструктуре множества специально оборудованных мест, приспособленных для физической активности на открытом воздухе. В странах с высоким уровнем урбанизации 75% случаев смертей обусловлены "болезнями цивилизации", одним из фактором риска которых служит малоподвижный образ жизни.</w:t>
            </w: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24</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объектов культурного наследия, в которых размещаются театр, музеи, библиотеки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451B7FC1" wp14:editId="39A8595F">
                  <wp:extent cx="657225" cy="447675"/>
                  <wp:effectExtent l="0" t="0" r="9525" b="9525"/>
                  <wp:docPr id="15" name="Рисунок 15" descr="http://rulaws.ru/static/Images/282529_0000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laws.ru/static/Images/282529_000000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Ксоц</w:t>
            </w:r>
            <w:proofErr w:type="spellEnd"/>
            <w:r w:rsidRPr="00263012">
              <w:rPr>
                <w:rFonts w:ascii="inherit" w:eastAsia="Times New Roman" w:hAnsi="inherit" w:cs="Arial"/>
                <w:color w:val="222222"/>
                <w:sz w:val="24"/>
                <w:szCs w:val="24"/>
                <w:lang w:eastAsia="ru-RU"/>
              </w:rPr>
              <w:t xml:space="preserve"> - количество объектов культурного наследия федерального, регионального и местного значения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Индикатор </w:t>
            </w:r>
            <w:proofErr w:type="gramStart"/>
            <w:r w:rsidRPr="00263012">
              <w:rPr>
                <w:rFonts w:ascii="inherit" w:eastAsia="Times New Roman" w:hAnsi="inherit" w:cs="Arial"/>
                <w:color w:val="222222"/>
                <w:sz w:val="24"/>
                <w:szCs w:val="24"/>
                <w:lang w:eastAsia="ru-RU"/>
              </w:rPr>
              <w:t>показывает</w:t>
            </w:r>
            <w:proofErr w:type="gramEnd"/>
            <w:r w:rsidRPr="00263012">
              <w:rPr>
                <w:rFonts w:ascii="inherit" w:eastAsia="Times New Roman" w:hAnsi="inherit" w:cs="Arial"/>
                <w:color w:val="222222"/>
                <w:sz w:val="24"/>
                <w:szCs w:val="24"/>
                <w:lang w:eastAsia="ru-RU"/>
              </w:rPr>
              <w:t xml:space="preserve"> как использование, так и отношение города к историческому наследию. Объекты культурного наследия, </w:t>
            </w:r>
            <w:r w:rsidRPr="00263012">
              <w:rPr>
                <w:rFonts w:ascii="inherit" w:eastAsia="Times New Roman" w:hAnsi="inherit" w:cs="Arial"/>
                <w:color w:val="222222"/>
                <w:sz w:val="24"/>
                <w:szCs w:val="24"/>
                <w:lang w:eastAsia="ru-RU"/>
              </w:rPr>
              <w:lastRenderedPageBreak/>
              <w:t>в которых расположены театры, музеи и библиотеки, доступны большему количеством людей и требуют высоких стандартов качества и сохранности, и, как правило, находятся в лучшем состоянии. Повышение значения показателя стимулирует повышение качества сохранности особо ценных объектов городской среды.</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 - количество объектов культурного наследия федерального, регионального и местного значения, в которых располагаются функции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25</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Посещаемость музеев и театров</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4B00ED13" wp14:editId="1DCCE697">
                  <wp:extent cx="600075" cy="390525"/>
                  <wp:effectExtent l="0" t="0" r="9525" b="9525"/>
                  <wp:docPr id="16" name="Рисунок 16" descr="http://rulaws.ru/static/Images/282529_0000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laws.ru/static/Images/282529_000000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Пм - количество посещений театров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Минкульт</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Индикатор говорит не только об объеме, качестве выставок и репертуара театров, но и о важности этих пространств в городской среде. Для достижения положительной динамики необходимы мероприятия по трансформации театров и музеев из монофункциональных объектов в городские центры с множеством функций.</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Пт</w:t>
            </w:r>
            <w:proofErr w:type="spellEnd"/>
            <w:r w:rsidRPr="00263012">
              <w:rPr>
                <w:rFonts w:ascii="inherit" w:eastAsia="Times New Roman" w:hAnsi="inherit" w:cs="Arial"/>
                <w:color w:val="222222"/>
                <w:sz w:val="24"/>
                <w:szCs w:val="24"/>
                <w:lang w:eastAsia="ru-RU"/>
              </w:rPr>
              <w:t xml:space="preserve"> - количество посещений музеев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Минкульт</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 - численность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Общее количество ДТП в городе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7D93C332" wp14:editId="3DC15699">
                  <wp:extent cx="485775" cy="438150"/>
                  <wp:effectExtent l="0" t="0" r="9525" b="0"/>
                  <wp:docPr id="17" name="Рисунок 17" descr="http://rulaws.ru/static/Images/282529_0000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laws.ru/static/Images/282529_0000001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Дi</w:t>
            </w:r>
            <w:proofErr w:type="spellEnd"/>
            <w:r w:rsidRPr="00263012">
              <w:rPr>
                <w:rFonts w:ascii="inherit" w:eastAsia="Times New Roman" w:hAnsi="inherit" w:cs="Arial"/>
                <w:color w:val="222222"/>
                <w:sz w:val="24"/>
                <w:szCs w:val="24"/>
                <w:lang w:eastAsia="ru-RU"/>
              </w:rPr>
              <w:t xml:space="preserve"> - количество ДТП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МВД РФ</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Определяет общий уровень угрозы для жизни и здоровья людей в связи с разного рода рисками, вызванными несовершенством его инфраструктуры.</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 - численность населения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Чел.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Среднее расстояние между остановка общественного транспорта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Для расчета индикатора вычисляется среднее расстояние между соседними остановками общественного </w:t>
            </w:r>
            <w:r w:rsidRPr="00263012">
              <w:rPr>
                <w:rFonts w:ascii="inherit" w:eastAsia="Times New Roman" w:hAnsi="inherit" w:cs="Arial"/>
                <w:color w:val="222222"/>
                <w:sz w:val="24"/>
                <w:szCs w:val="24"/>
                <w:lang w:eastAsia="ru-RU"/>
              </w:rPr>
              <w:lastRenderedPageBreak/>
              <w:t>транспорта в городе.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lastRenderedPageBreak/>
              <w:t>Среднее расстояние между всеми остановками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Отражает комфорт общегородского пространства. Развитый общественный транспорт - необходимый элемент современного города, </w:t>
            </w:r>
            <w:r w:rsidRPr="00263012">
              <w:rPr>
                <w:rFonts w:ascii="inherit" w:eastAsia="Times New Roman" w:hAnsi="inherit" w:cs="Arial"/>
                <w:color w:val="222222"/>
                <w:sz w:val="24"/>
                <w:szCs w:val="24"/>
                <w:lang w:eastAsia="ru-RU"/>
              </w:rPr>
              <w:lastRenderedPageBreak/>
              <w:t>он позволяет жителям отказаться от личных автомобилей и при этом комфортно и быстро перемещаться по городу.</w:t>
            </w:r>
          </w:p>
        </w:tc>
      </w:tr>
      <w:tr w:rsidR="00263012" w:rsidRPr="00263012" w:rsidTr="00263012">
        <w:tc>
          <w:tcPr>
            <w:tcW w:w="0" w:type="auto"/>
            <w:gridSpan w:val="10"/>
            <w:tcBorders>
              <w:top w:val="single" w:sz="8" w:space="0" w:color="auto"/>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vMerge w:val="restart"/>
            <w:tcBorders>
              <w:top w:val="nil"/>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28</w:t>
            </w:r>
          </w:p>
        </w:tc>
        <w:tc>
          <w:tcPr>
            <w:tcW w:w="0" w:type="auto"/>
            <w:vMerge w:val="restart"/>
            <w:tcBorders>
              <w:top w:val="nil"/>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vMerge w:val="restart"/>
            <w:tcBorders>
              <w:top w:val="nil"/>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Отношение площади зеленых насаждений в пределах городской черты к общей площади городских земель в пределах городской черты</w:t>
            </w:r>
          </w:p>
        </w:tc>
        <w:tc>
          <w:tcPr>
            <w:tcW w:w="0" w:type="auto"/>
            <w:vMerge w:val="restart"/>
            <w:tcBorders>
              <w:top w:val="nil"/>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28B45871" wp14:editId="0BFEB7BF">
                  <wp:extent cx="762000" cy="447675"/>
                  <wp:effectExtent l="0" t="0" r="0" b="9525"/>
                  <wp:docPr id="18" name="Рисунок 18" descr="http://rulaws.ru/static/Images/282529_00000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laws.ru/static/Images/282529_0000002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Sзн</w:t>
            </w:r>
            <w:proofErr w:type="spellEnd"/>
            <w:r w:rsidRPr="00263012">
              <w:rPr>
                <w:rFonts w:ascii="inherit" w:eastAsia="Times New Roman" w:hAnsi="inherit" w:cs="Arial"/>
                <w:color w:val="222222"/>
                <w:sz w:val="24"/>
                <w:szCs w:val="24"/>
                <w:lang w:eastAsia="ru-RU"/>
              </w:rPr>
              <w:t xml:space="preserve"> - площадь зеленых насаждений в пределах городской черты</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км2</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 (Форма 1-КХ)</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vMerge w:val="restart"/>
            <w:tcBorders>
              <w:top w:val="nil"/>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Помимо того, что зеленые насаждения выполняют санитарно-гигиенические функции, они активно участвуют в создании городских ландшафтов. Зеленые массивы, расположенные между отдельными районами застройки, объединяют их, придают городу целостность и законченность, оживляют городские ландшафты, являются средством индивидуализации районов и микрорайонов города.</w:t>
            </w:r>
          </w:p>
        </w:tc>
      </w:tr>
      <w:tr w:rsidR="00263012" w:rsidRPr="00263012" w:rsidTr="00263012">
        <w:tc>
          <w:tcPr>
            <w:tcW w:w="0" w:type="auto"/>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Sмо</w:t>
            </w:r>
            <w:proofErr w:type="spellEnd"/>
            <w:r w:rsidRPr="00263012">
              <w:rPr>
                <w:rFonts w:ascii="inherit" w:eastAsia="Times New Roman" w:hAnsi="inherit" w:cs="Arial"/>
                <w:color w:val="222222"/>
                <w:sz w:val="24"/>
                <w:szCs w:val="24"/>
                <w:lang w:eastAsia="ru-RU"/>
              </w:rPr>
              <w:t xml:space="preserve"> - общая площадь городских земель в пределах городской черты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км2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 (Форма 1-КФ)</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мест в которых сконцентрировано наибольшее количество фотографий</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Рассчитывается как количество мест, в которых сконцентрировано наиболее количество фотографий, но в сумме не превышающих 75% всех фотографий на территории города. Полученное значение нормируется по суммарному количеству улиц в населенном пункте.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Ед.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Поисково-информационные картографические службы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Географическая информационная системы (ГИС)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both"/>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Показатель, прямо сообщающий информацию о количестве в городе территорий, на которых находятся максимально привлекательные для горожан и туристов объекты и сервисы.</w:t>
            </w:r>
          </w:p>
        </w:tc>
      </w:tr>
      <w:tr w:rsidR="00263012" w:rsidRPr="00263012" w:rsidTr="00263012">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30</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горожан, работающих в третичном секторе экономики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29B1A385" wp14:editId="16D93616">
                  <wp:extent cx="561975" cy="438150"/>
                  <wp:effectExtent l="0" t="0" r="9525" b="0"/>
                  <wp:docPr id="19" name="Рисунок 19" descr="http://rulaws.ru/static/Images/282529_0000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laws.ru/static/Images/282529_000000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0" w:type="auto"/>
            <w:tcBorders>
              <w:top w:val="nil"/>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Ртр</w:t>
            </w:r>
            <w:proofErr w:type="spellEnd"/>
            <w:r w:rsidRPr="00263012">
              <w:rPr>
                <w:rFonts w:ascii="inherit" w:eastAsia="Times New Roman" w:hAnsi="inherit" w:cs="Arial"/>
                <w:color w:val="222222"/>
                <w:sz w:val="24"/>
                <w:szCs w:val="24"/>
                <w:lang w:eastAsia="ru-RU"/>
              </w:rPr>
              <w:t xml:space="preserve"> - среднесписочная численность работников организаций (Разделы G, H, I, J, K, L, M, N, O, Q)</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Индикатор, комплексно характеризующий разнообразие возможности в городе. Высокая доля третичного сектора экономики в городе говорит о большом разнообразии видов деятельности и работ, о большом количестве </w:t>
            </w:r>
            <w:r w:rsidRPr="00263012">
              <w:rPr>
                <w:rFonts w:ascii="inherit" w:eastAsia="Times New Roman" w:hAnsi="inherit" w:cs="Arial"/>
                <w:color w:val="222222"/>
                <w:sz w:val="24"/>
                <w:szCs w:val="24"/>
                <w:lang w:eastAsia="ru-RU"/>
              </w:rPr>
              <w:lastRenderedPageBreak/>
              <w:t>организаций, которые позитивно влияют на многие параметры городской среды.</w:t>
            </w:r>
          </w:p>
        </w:tc>
      </w:tr>
      <w:tr w:rsidR="00263012" w:rsidRPr="00263012" w:rsidTr="00263012">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Ртр</w:t>
            </w:r>
            <w:proofErr w:type="spellEnd"/>
            <w:r w:rsidRPr="00263012">
              <w:rPr>
                <w:rFonts w:ascii="inherit" w:eastAsia="Times New Roman" w:hAnsi="inherit" w:cs="Arial"/>
                <w:color w:val="222222"/>
                <w:sz w:val="24"/>
                <w:szCs w:val="24"/>
                <w:lang w:eastAsia="ru-RU"/>
              </w:rPr>
              <w:t xml:space="preserve"> - численность работников организаций всего</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дворовых территорий, прошедших инвентаризацию, на которые оформлен электронный паспорт к общему количеству дворовых территорий, находящихся в муниципалитете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1EDAEF33" wp14:editId="68CEA4A1">
                  <wp:extent cx="723900" cy="400050"/>
                  <wp:effectExtent l="0" t="0" r="0" b="0"/>
                  <wp:docPr id="20" name="Рисунок 20" descr="http://rulaws.ru/static/Images/282529_00000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laws.ru/static/Images/282529_0000002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4000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Dр</w:t>
            </w:r>
            <w:proofErr w:type="spellEnd"/>
            <w:r w:rsidRPr="00263012">
              <w:rPr>
                <w:rFonts w:ascii="inherit" w:eastAsia="Times New Roman" w:hAnsi="inherit" w:cs="Arial"/>
                <w:color w:val="222222"/>
                <w:sz w:val="24"/>
                <w:szCs w:val="24"/>
                <w:lang w:eastAsia="ru-RU"/>
              </w:rPr>
              <w:t xml:space="preserve"> - количество дворовых территорий, прошедших инвентаризацию, на которые оформлен электронный паспорт;</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Dо</w:t>
            </w:r>
            <w:proofErr w:type="spellEnd"/>
            <w:r w:rsidRPr="00263012">
              <w:rPr>
                <w:rFonts w:ascii="inherit" w:eastAsia="Times New Roman" w:hAnsi="inherit" w:cs="Arial"/>
                <w:color w:val="222222"/>
                <w:sz w:val="24"/>
                <w:szCs w:val="24"/>
                <w:lang w:eastAsia="ru-RU"/>
              </w:rPr>
              <w:t xml:space="preserve"> - общее количество дворовых территорий, находящихся в муниципалитете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Данный индикатор позволяет оценивать качество организации территории муниципалитета в части дворовых территорий</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общественных территорий, прошедших инвентаризацию, на которые оформлен электронный паспорт к общему количеству общественных территорий, находящихся в муниципалитете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50172EC0" wp14:editId="1683CCFE">
                  <wp:extent cx="685800" cy="400050"/>
                  <wp:effectExtent l="0" t="0" r="0" b="0"/>
                  <wp:docPr id="21" name="Рисунок 21" descr="http://rulaws.ru/static/Images/282529_0000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laws.ru/static/Images/282529_0000002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Тр</w:t>
            </w:r>
            <w:proofErr w:type="spellEnd"/>
            <w:r w:rsidRPr="00263012">
              <w:rPr>
                <w:rFonts w:ascii="inherit" w:eastAsia="Times New Roman" w:hAnsi="inherit" w:cs="Arial"/>
                <w:color w:val="222222"/>
                <w:sz w:val="24"/>
                <w:szCs w:val="24"/>
                <w:lang w:eastAsia="ru-RU"/>
              </w:rPr>
              <w:t xml:space="preserve"> - количество общественных территорий, прошедших инвентаризацию, на которые оформлен электронный паспорт;</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То - общее количество общественных территорий, находящихся в муниципалитете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Данный индикатор позволяет оценивать качество организации территории муниципалитета в части общественных пространств</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дворовых территорий, благоустройство которых выполнено при финансовом участии граждан, организаций в выполнении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24695092" wp14:editId="5D2BADFD">
                  <wp:extent cx="847725" cy="447675"/>
                  <wp:effectExtent l="0" t="0" r="9525" b="9525"/>
                  <wp:docPr id="22" name="Рисунок 22" descr="http://rulaws.ru/static/Images/282529_0000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laws.ru/static/Images/282529_000000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Dбл</w:t>
            </w:r>
            <w:proofErr w:type="spellEnd"/>
            <w:r w:rsidRPr="00263012">
              <w:rPr>
                <w:rFonts w:ascii="inherit" w:eastAsia="Times New Roman" w:hAnsi="inherit" w:cs="Arial"/>
                <w:color w:val="222222"/>
                <w:sz w:val="24"/>
                <w:szCs w:val="24"/>
                <w:lang w:eastAsia="ru-RU"/>
              </w:rPr>
              <w:t xml:space="preserve"> - количество дворовых территорий, благоустройство которых выполнено при финансовом участии граждан, организаций</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Dвсего</w:t>
            </w:r>
            <w:proofErr w:type="spellEnd"/>
            <w:r w:rsidRPr="00263012">
              <w:rPr>
                <w:rFonts w:ascii="inherit" w:eastAsia="Times New Roman" w:hAnsi="inherit" w:cs="Arial"/>
                <w:color w:val="222222"/>
                <w:sz w:val="24"/>
                <w:szCs w:val="24"/>
                <w:lang w:eastAsia="ru-RU"/>
              </w:rPr>
              <w:t xml:space="preserve"> - количество дворовых территорий требующих благоустройства по результатам инвентаризации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Финансовое вовлечение граждан, организаций в реализацию мероприятий по благоустройству дворовых территорий, их готовность вкладывать свои средства в такие мероприятия свидетельствует об эффективной организации работы с гражданами, организациями при осуществлении </w:t>
            </w:r>
            <w:r w:rsidRPr="00263012">
              <w:rPr>
                <w:rFonts w:ascii="inherit" w:eastAsia="Times New Roman" w:hAnsi="inherit" w:cs="Arial"/>
                <w:color w:val="222222"/>
                <w:sz w:val="24"/>
                <w:szCs w:val="24"/>
                <w:lang w:eastAsia="ru-RU"/>
              </w:rPr>
              <w:lastRenderedPageBreak/>
              <w:t>мероприятий по формированию комфортной городской среды в муниципалитете</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общественных территорий, благоустройство которых выполнено при финансовом участии граждан, организаций в выполнении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7744BC30" wp14:editId="692477EE">
                  <wp:extent cx="828675" cy="447675"/>
                  <wp:effectExtent l="0" t="0" r="9525" b="9525"/>
                  <wp:docPr id="23" name="Рисунок 23" descr="http://rulaws.ru/static/Images/282529_00000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laws.ru/static/Images/282529_0000002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Тбл</w:t>
            </w:r>
            <w:proofErr w:type="spellEnd"/>
            <w:r w:rsidRPr="00263012">
              <w:rPr>
                <w:rFonts w:ascii="inherit" w:eastAsia="Times New Roman" w:hAnsi="inherit" w:cs="Arial"/>
                <w:color w:val="222222"/>
                <w:sz w:val="24"/>
                <w:szCs w:val="24"/>
                <w:lang w:eastAsia="ru-RU"/>
              </w:rPr>
              <w:t xml:space="preserve"> - количество общественных территорий, благоустройство которых выполнено при финансовом участии граждан, организаций</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Твсего</w:t>
            </w:r>
            <w:proofErr w:type="spellEnd"/>
            <w:r w:rsidRPr="00263012">
              <w:rPr>
                <w:rFonts w:ascii="inherit" w:eastAsia="Times New Roman" w:hAnsi="inherit" w:cs="Arial"/>
                <w:color w:val="222222"/>
                <w:sz w:val="24"/>
                <w:szCs w:val="24"/>
                <w:lang w:eastAsia="ru-RU"/>
              </w:rPr>
              <w:t xml:space="preserve"> - количество общественных территорий требующих благоустройства по результатам инвентаризации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Финансовое вовлечение граждан, организаций в реализацию мероприятий по благоустройству общественных территорий, их готовность вкладывать свои средства в такие мероприятия свидетельствует об эффективной организации работы с гражданами, организациями при осуществлении мероприятий по формированию комфортной городской среды в муниципалитете</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привлечения граждан и общественных организаций к реализации мероприятий по формированию комфортной городской среды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согласно методики, разработанной Минстроем России во исполнение подпункта в) пункта 1 перечня Поручений Президента РФ от 07.09.2017 N Пр-1773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Высокая степень вовлечения граждан и общественных организаций к реализации мероприятий по формированию комфортной городской среды свидетельствует об эффективной работе органов местного самоуправления в рамках реализации приоритетного проекта</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Доля внебюджетных средств, израсходованных на мероприятия, предусмотренных муниципальными программами формирования </w:t>
            </w:r>
            <w:r w:rsidRPr="00263012">
              <w:rPr>
                <w:rFonts w:ascii="inherit" w:eastAsia="Times New Roman" w:hAnsi="inherit" w:cs="Arial"/>
                <w:color w:val="222222"/>
                <w:sz w:val="24"/>
                <w:szCs w:val="24"/>
                <w:lang w:eastAsia="ru-RU"/>
              </w:rPr>
              <w:lastRenderedPageBreak/>
              <w:t>комфортной городской среды на 2017 - 2022 г. г. к общему объему израсходованных средств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lastRenderedPageBreak/>
              <w:t>Sr</w:t>
            </w:r>
            <w:proofErr w:type="spellEnd"/>
            <w:r w:rsidRPr="00263012">
              <w:rPr>
                <w:rFonts w:ascii="inherit" w:eastAsia="Times New Roman" w:hAnsi="inherit" w:cs="Arial"/>
                <w:color w:val="222222"/>
                <w:sz w:val="24"/>
                <w:szCs w:val="24"/>
                <w:lang w:eastAsia="ru-RU"/>
              </w:rPr>
              <w:t xml:space="preserve"> / </w:t>
            </w:r>
            <w:proofErr w:type="spellStart"/>
            <w:r w:rsidRPr="00263012">
              <w:rPr>
                <w:rFonts w:ascii="inherit" w:eastAsia="Times New Roman" w:hAnsi="inherit" w:cs="Arial"/>
                <w:color w:val="222222"/>
                <w:sz w:val="24"/>
                <w:szCs w:val="24"/>
                <w:lang w:eastAsia="ru-RU"/>
              </w:rPr>
              <w:t>Sо</w:t>
            </w:r>
            <w:proofErr w:type="spellEnd"/>
            <w:r w:rsidRPr="00263012">
              <w:rPr>
                <w:rFonts w:ascii="inherit" w:eastAsia="Times New Roman" w:hAnsi="inherit" w:cs="Arial"/>
                <w:color w:val="222222"/>
                <w:sz w:val="24"/>
                <w:szCs w:val="24"/>
                <w:lang w:eastAsia="ru-RU"/>
              </w:rPr>
              <w:t xml:space="preserve"> * 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Sr</w:t>
            </w:r>
            <w:proofErr w:type="spellEnd"/>
            <w:r w:rsidRPr="00263012">
              <w:rPr>
                <w:rFonts w:ascii="inherit" w:eastAsia="Times New Roman" w:hAnsi="inherit" w:cs="Arial"/>
                <w:color w:val="222222"/>
                <w:sz w:val="24"/>
                <w:szCs w:val="24"/>
                <w:lang w:eastAsia="ru-RU"/>
              </w:rPr>
              <w:t xml:space="preserve"> - объем внебюджетных средств, израсходованных на мероприятия, предусмотренных муниципальными программами </w:t>
            </w:r>
            <w:r w:rsidRPr="00263012">
              <w:rPr>
                <w:rFonts w:ascii="inherit" w:eastAsia="Times New Roman" w:hAnsi="inherit" w:cs="Arial"/>
                <w:color w:val="222222"/>
                <w:sz w:val="24"/>
                <w:szCs w:val="24"/>
                <w:lang w:eastAsia="ru-RU"/>
              </w:rPr>
              <w:lastRenderedPageBreak/>
              <w:t>формирования комфортной городской среды на 2017 - 2022 г. г.;</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Sо</w:t>
            </w:r>
            <w:proofErr w:type="spellEnd"/>
            <w:r w:rsidRPr="00263012">
              <w:rPr>
                <w:rFonts w:ascii="inherit" w:eastAsia="Times New Roman" w:hAnsi="inherit" w:cs="Arial"/>
                <w:color w:val="222222"/>
                <w:sz w:val="24"/>
                <w:szCs w:val="24"/>
                <w:lang w:eastAsia="ru-RU"/>
              </w:rPr>
              <w:t xml:space="preserve"> - общий объем израсходованных средств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lastRenderedPageBreak/>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Высокая доля внебюджетных средств, расходуемых на финансирование мероприятий по благоустройству в рамках реализации муниципальных </w:t>
            </w:r>
            <w:r w:rsidRPr="00263012">
              <w:rPr>
                <w:rFonts w:ascii="inherit" w:eastAsia="Times New Roman" w:hAnsi="inherit" w:cs="Arial"/>
                <w:color w:val="222222"/>
                <w:sz w:val="24"/>
                <w:szCs w:val="24"/>
                <w:lang w:eastAsia="ru-RU"/>
              </w:rPr>
              <w:lastRenderedPageBreak/>
              <w:t>программ формирования комфортной городской среды свидетельствует об эффективной работе органов власти с гражданами, организациями по их вовлечению в приоритетный проект</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реализации муниципальных программ формирования современной городской среды в 2017 - 2022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Kr</w:t>
            </w:r>
            <w:proofErr w:type="spellEnd"/>
            <w:r w:rsidRPr="00263012">
              <w:rPr>
                <w:rFonts w:ascii="inherit" w:eastAsia="Times New Roman" w:hAnsi="inherit" w:cs="Arial"/>
                <w:color w:val="222222"/>
                <w:sz w:val="24"/>
                <w:szCs w:val="24"/>
                <w:lang w:eastAsia="ru-RU"/>
              </w:rPr>
              <w:t xml:space="preserve"> / </w:t>
            </w:r>
            <w:proofErr w:type="spellStart"/>
            <w:r w:rsidRPr="00263012">
              <w:rPr>
                <w:rFonts w:ascii="inherit" w:eastAsia="Times New Roman" w:hAnsi="inherit" w:cs="Arial"/>
                <w:color w:val="222222"/>
                <w:sz w:val="24"/>
                <w:szCs w:val="24"/>
                <w:lang w:eastAsia="ru-RU"/>
              </w:rPr>
              <w:t>Kр</w:t>
            </w:r>
            <w:proofErr w:type="spellEnd"/>
            <w:r w:rsidRPr="00263012">
              <w:rPr>
                <w:rFonts w:ascii="inherit" w:eastAsia="Times New Roman" w:hAnsi="inherit" w:cs="Arial"/>
                <w:color w:val="222222"/>
                <w:sz w:val="24"/>
                <w:szCs w:val="24"/>
                <w:lang w:eastAsia="ru-RU"/>
              </w:rPr>
              <w:t xml:space="preserve"> * 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Кr</w:t>
            </w:r>
            <w:proofErr w:type="spellEnd"/>
            <w:r w:rsidRPr="00263012">
              <w:rPr>
                <w:rFonts w:ascii="inherit" w:eastAsia="Times New Roman" w:hAnsi="inherit" w:cs="Arial"/>
                <w:color w:val="222222"/>
                <w:sz w:val="24"/>
                <w:szCs w:val="24"/>
                <w:lang w:eastAsia="ru-RU"/>
              </w:rPr>
              <w:t xml:space="preserve"> - количество мероприятий программы, реализованных в полном объеме в установленный срок;</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Кр</w:t>
            </w:r>
            <w:proofErr w:type="spellEnd"/>
            <w:r w:rsidRPr="00263012">
              <w:rPr>
                <w:rFonts w:ascii="inherit" w:eastAsia="Times New Roman" w:hAnsi="inherit" w:cs="Arial"/>
                <w:color w:val="222222"/>
                <w:sz w:val="24"/>
                <w:szCs w:val="24"/>
                <w:lang w:eastAsia="ru-RU"/>
              </w:rPr>
              <w:t xml:space="preserve"> - общее количество мероприятий программы, подлежащих реализации в установленный срок;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Своевременная и качественная реализация муниципальных программ свидетельствует об эффективной организации работы муниципального образования в части создания комфортной городской среды</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22F484C3" wp14:editId="35113178">
                  <wp:extent cx="990600" cy="419100"/>
                  <wp:effectExtent l="0" t="0" r="0" b="0"/>
                  <wp:docPr id="24" name="Рисунок 24" descr="http://rulaws.ru/static/Images/282529_00000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laws.ru/static/Images/282529_0000002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МКДзу</w:t>
            </w:r>
            <w:proofErr w:type="spellEnd"/>
            <w:r w:rsidRPr="00263012">
              <w:rPr>
                <w:rFonts w:ascii="inherit" w:eastAsia="Times New Roman" w:hAnsi="inherit" w:cs="Arial"/>
                <w:color w:val="222222"/>
                <w:sz w:val="24"/>
                <w:szCs w:val="24"/>
                <w:lang w:eastAsia="ru-RU"/>
              </w:rPr>
              <w:t xml:space="preserve"> - Количество многоквартирных домов в муниципальном образовании расположенных на земельных участках, в отношении которых осуществлен государственный кадастровый учет</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МКД - общее количество многоквартирных домов в муниципальном образовании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Росстат приложение к форме 1-МО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Выделение и закрепление в кадастровом учете границ земельных участков, входящих в состав общего имущества многоквартирного дома, свидетельствует об упорядоченности правоотношений в районах жилой застройки, снижает риски конфликтов по поводу использования таких территорий, создает предпосылки для реализации эффективных программ благоустройства дворовых территорий</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Доля благоустроенных дворовых территорий от общего количества дворовых территорий, </w:t>
            </w:r>
            <w:r w:rsidRPr="00263012">
              <w:rPr>
                <w:rFonts w:ascii="inherit" w:eastAsia="Times New Roman" w:hAnsi="inherit" w:cs="Arial"/>
                <w:color w:val="222222"/>
                <w:sz w:val="24"/>
                <w:szCs w:val="24"/>
                <w:lang w:eastAsia="ru-RU"/>
              </w:rPr>
              <w:lastRenderedPageBreak/>
              <w:t>нуждающихся в благоустройстве и включенных в муниципальную программу формирования комфортной городской среды на 2018 - 2022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lastRenderedPageBreak/>
              <w:drawing>
                <wp:inline distT="0" distB="0" distL="0" distR="0" wp14:anchorId="1995E21E" wp14:editId="5D1AB3A3">
                  <wp:extent cx="847725" cy="447675"/>
                  <wp:effectExtent l="0" t="0" r="9525" b="9525"/>
                  <wp:docPr id="25" name="Рисунок 25" descr="http://rulaws.ru/static/Images/282529_00000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laws.ru/static/Images/282529_0000002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Dбл</w:t>
            </w:r>
            <w:proofErr w:type="spellEnd"/>
            <w:r w:rsidRPr="00263012">
              <w:rPr>
                <w:rFonts w:ascii="inherit" w:eastAsia="Times New Roman" w:hAnsi="inherit" w:cs="Arial"/>
                <w:color w:val="222222"/>
                <w:sz w:val="24"/>
                <w:szCs w:val="24"/>
                <w:lang w:eastAsia="ru-RU"/>
              </w:rPr>
              <w:t xml:space="preserve"> - количество дворовых территорий, не нуждающихся в </w:t>
            </w:r>
            <w:r w:rsidRPr="00263012">
              <w:rPr>
                <w:rFonts w:ascii="inherit" w:eastAsia="Times New Roman" w:hAnsi="inherit" w:cs="Arial"/>
                <w:color w:val="222222"/>
                <w:sz w:val="24"/>
                <w:szCs w:val="24"/>
                <w:lang w:eastAsia="ru-RU"/>
              </w:rPr>
              <w:lastRenderedPageBreak/>
              <w:t>благоустройстве по результатам инвентаризации</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Dвсего</w:t>
            </w:r>
            <w:proofErr w:type="spellEnd"/>
            <w:r w:rsidRPr="00263012">
              <w:rPr>
                <w:rFonts w:ascii="inherit" w:eastAsia="Times New Roman" w:hAnsi="inherit" w:cs="Arial"/>
                <w:color w:val="222222"/>
                <w:sz w:val="24"/>
                <w:szCs w:val="24"/>
                <w:lang w:eastAsia="ru-RU"/>
              </w:rPr>
              <w:t xml:space="preserve"> - количество дворовых территорий, требующих благоустройства по результатам инвентаризации и включенных в муниципальную программу формирования комфортной городской среды на 2018 - 2022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lastRenderedPageBreak/>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Оценка осуществляется на основании размещенной в ГИС </w:t>
            </w:r>
            <w:r w:rsidRPr="00263012">
              <w:rPr>
                <w:rFonts w:ascii="inherit" w:eastAsia="Times New Roman" w:hAnsi="inherit" w:cs="Arial"/>
                <w:color w:val="222222"/>
                <w:sz w:val="24"/>
                <w:szCs w:val="24"/>
                <w:lang w:eastAsia="ru-RU"/>
              </w:rPr>
              <w:lastRenderedPageBreak/>
              <w:t>ЖКХ органами местного самоуправления информации. Своевременность и полнота охвата мероприятиями по благоустройству дворовых территорий свидетельствует об эффективном осуществлении мероприятий по улучшению качества городской среды</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благоустроенных общественных территорий от общего количества общественных территорий, нуждающихся в благоустройстве и включенных в муниципальную программу формирования комфортной городской среды на 2018 - 2022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noProof/>
                <w:color w:val="222222"/>
                <w:sz w:val="24"/>
                <w:szCs w:val="24"/>
                <w:lang w:eastAsia="ru-RU"/>
              </w:rPr>
              <w:drawing>
                <wp:inline distT="0" distB="0" distL="0" distR="0" wp14:anchorId="261051FF" wp14:editId="324FB74E">
                  <wp:extent cx="828675" cy="447675"/>
                  <wp:effectExtent l="0" t="0" r="9525" b="9525"/>
                  <wp:docPr id="26" name="Рисунок 26" descr="http://rulaws.ru/static/Images/282529_00000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ulaws.ru/static/Images/282529_0000002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Тбл</w:t>
            </w:r>
            <w:proofErr w:type="spellEnd"/>
            <w:r w:rsidRPr="00263012">
              <w:rPr>
                <w:rFonts w:ascii="inherit" w:eastAsia="Times New Roman" w:hAnsi="inherit" w:cs="Arial"/>
                <w:color w:val="222222"/>
                <w:sz w:val="24"/>
                <w:szCs w:val="24"/>
                <w:lang w:eastAsia="ru-RU"/>
              </w:rPr>
              <w:t xml:space="preserve"> - количество общественных территорий, не нуждающихся в благоустройстве по результатам инвентаризации</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Твсего</w:t>
            </w:r>
            <w:proofErr w:type="spellEnd"/>
            <w:r w:rsidRPr="00263012">
              <w:rPr>
                <w:rFonts w:ascii="inherit" w:eastAsia="Times New Roman" w:hAnsi="inherit" w:cs="Arial"/>
                <w:color w:val="222222"/>
                <w:sz w:val="24"/>
                <w:szCs w:val="24"/>
                <w:lang w:eastAsia="ru-RU"/>
              </w:rPr>
              <w:t xml:space="preserve"> - количество общественных территорий, требующих благоустройства по результатам инвентаризации и включенных в муниципальную программу формирования комфортной городской среды на 2018 - 2022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Оценка осуществляется на основании размещенной в ГИС ЖКХ органами местного самоуправления информации. Своевременность и полнота охвата мероприятиями по благоустройству общественных территорий муниципалитетов свидетельствует об эффективном осуществлении мероприятий по улучшению качества городской среды</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Муниципальные образования - получатели субсидии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Доля обязательств, предусмотренных соглашением о предоставлении субсидии, выполненных в установленный сроке надлежащим качеством по отношению к общему объему обязательств, предусмотренных </w:t>
            </w:r>
            <w:r w:rsidRPr="00263012">
              <w:rPr>
                <w:rFonts w:ascii="inherit" w:eastAsia="Times New Roman" w:hAnsi="inherit" w:cs="Arial"/>
                <w:color w:val="222222"/>
                <w:sz w:val="24"/>
                <w:szCs w:val="24"/>
                <w:lang w:eastAsia="ru-RU"/>
              </w:rPr>
              <w:lastRenderedPageBreak/>
              <w:t>соглашением, заключенным с Минстроем России в 2017 году применительно к субъекту РФ</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lastRenderedPageBreak/>
              <w:t>Kr</w:t>
            </w:r>
            <w:proofErr w:type="spellEnd"/>
            <w:r w:rsidRPr="00263012">
              <w:rPr>
                <w:rFonts w:ascii="inherit" w:eastAsia="Times New Roman" w:hAnsi="inherit" w:cs="Arial"/>
                <w:color w:val="222222"/>
                <w:sz w:val="24"/>
                <w:szCs w:val="24"/>
                <w:lang w:eastAsia="ru-RU"/>
              </w:rPr>
              <w:t xml:space="preserve"> / </w:t>
            </w:r>
            <w:proofErr w:type="spellStart"/>
            <w:r w:rsidRPr="00263012">
              <w:rPr>
                <w:rFonts w:ascii="inherit" w:eastAsia="Times New Roman" w:hAnsi="inherit" w:cs="Arial"/>
                <w:color w:val="222222"/>
                <w:sz w:val="24"/>
                <w:szCs w:val="24"/>
                <w:lang w:eastAsia="ru-RU"/>
              </w:rPr>
              <w:t>Kо</w:t>
            </w:r>
            <w:proofErr w:type="spellEnd"/>
            <w:r w:rsidRPr="00263012">
              <w:rPr>
                <w:rFonts w:ascii="inherit" w:eastAsia="Times New Roman" w:hAnsi="inherit" w:cs="Arial"/>
                <w:color w:val="222222"/>
                <w:sz w:val="24"/>
                <w:szCs w:val="24"/>
                <w:lang w:eastAsia="ru-RU"/>
              </w:rPr>
              <w:t xml:space="preserve"> * 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proofErr w:type="spellStart"/>
            <w:r w:rsidRPr="00263012">
              <w:rPr>
                <w:rFonts w:ascii="inherit" w:eastAsia="Times New Roman" w:hAnsi="inherit" w:cs="Arial"/>
                <w:color w:val="222222"/>
                <w:sz w:val="24"/>
                <w:szCs w:val="24"/>
                <w:lang w:eastAsia="ru-RU"/>
              </w:rPr>
              <w:t>Кr</w:t>
            </w:r>
            <w:proofErr w:type="spellEnd"/>
            <w:r w:rsidRPr="00263012">
              <w:rPr>
                <w:rFonts w:ascii="inherit" w:eastAsia="Times New Roman" w:hAnsi="inherit" w:cs="Arial"/>
                <w:color w:val="222222"/>
                <w:sz w:val="24"/>
                <w:szCs w:val="24"/>
                <w:lang w:eastAsia="ru-RU"/>
              </w:rPr>
              <w:t xml:space="preserve"> - количество обязательств, выполненных в полном объеме в установленный срок;</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 - общее количество обязательств, предусмотренных соглашением;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ГИС</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ЖКХ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Своевременное и качественное исполнение взятых по соглашению обязательств свидетельствует об эффективной организации работы муниципального образования в части создания комфортной городской среды</w:t>
            </w:r>
          </w:p>
        </w:tc>
      </w:tr>
    </w:tbl>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lastRenderedPageBreak/>
        <w:t>Таблица N 2</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Лист оценки муниципального образования</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Наименование субъекта Российской Федерации _____________________</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Наименование муниципального образования ______________________</w:t>
      </w:r>
    </w:p>
    <w:tbl>
      <w:tblPr>
        <w:tblW w:w="9060" w:type="dxa"/>
        <w:shd w:val="clear" w:color="auto" w:fill="FFFFFF"/>
        <w:tblCellMar>
          <w:left w:w="0" w:type="dxa"/>
          <w:right w:w="0" w:type="dxa"/>
        </w:tblCellMar>
        <w:tblLook w:val="04A0" w:firstRow="1" w:lastRow="0" w:firstColumn="1" w:lastColumn="0" w:noHBand="0" w:noVBand="1"/>
      </w:tblPr>
      <w:tblGrid>
        <w:gridCol w:w="1311"/>
        <w:gridCol w:w="1809"/>
        <w:gridCol w:w="1888"/>
        <w:gridCol w:w="2723"/>
        <w:gridCol w:w="1329"/>
      </w:tblGrid>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N индикатора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Категория</w:t>
            </w:r>
          </w:p>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(город, городские поселения, сельские поселения)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Наименование группы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Индикатор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Значение индикатора</w:t>
            </w:r>
          </w:p>
        </w:tc>
      </w:tr>
      <w:tr w:rsidR="00263012" w:rsidRPr="00263012" w:rsidTr="00263012">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жилья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Сумма баллов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жилья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 населения, живущего в аварийном жилье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жилья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Процент населения, живущего в жилье, обеспеченном централизованными услугами тепло-, водо-, электроснабжения, водоотведения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жилья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вывезенных ТКО на душу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жилья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Разнообразие жилой застройки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жилья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Разнообразие функций в жилой зоне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уличной инфраструктуры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Сумма баллов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уличной инфраструктуры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ДТП с участием пешеходов со смертельным исходом на душу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уличной инфраструктуры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улично-дорожной сети, обеспеченной ливневой канализацией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уличной инфраструктуры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Загруженность дорог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уличной инфраструктуры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улиц с развитым стрит-ритейлом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уличной инфраструктуры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Индекс пешеходной доступности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озелененных и прибрежных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Сумма баллов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озелененных и прибрежных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озелененных территорий общего пользования (парки, сады и др.) в площади всех зеленых насаждений в целом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озелененных и прибрежных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Доступность парков или обустроенного природного ландшафта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озелененных и прибрежных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зеленых насаждений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озелененных и прибрежных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фотографий из социальных сетей, сделанных горожанами на озелененных территориях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озелененных и прибрежных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разнообразных услуг для горожан на озелененных территориях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общественно-деловой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Сумма баллов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общественно-деловой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освещенных частей улиц, проездов, набережных на конец года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общественно-деловой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Доля общественно-деловых районов с развитием по типу </w:t>
            </w:r>
            <w:proofErr w:type="spellStart"/>
            <w:r w:rsidRPr="00263012">
              <w:rPr>
                <w:rFonts w:ascii="inherit" w:eastAsia="Times New Roman" w:hAnsi="inherit" w:cs="Arial"/>
                <w:color w:val="222222"/>
                <w:sz w:val="24"/>
                <w:szCs w:val="24"/>
                <w:lang w:eastAsia="ru-RU"/>
              </w:rPr>
              <w:t>mixed-use</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Состояние среды общественно-деловой инфраструктуры </w:t>
            </w:r>
            <w:r w:rsidRPr="00263012">
              <w:rPr>
                <w:rFonts w:ascii="inherit" w:eastAsia="Times New Roman" w:hAnsi="inherit" w:cs="Arial"/>
                <w:color w:val="222222"/>
                <w:sz w:val="24"/>
                <w:szCs w:val="24"/>
                <w:lang w:eastAsia="ru-RU"/>
              </w:rPr>
              <w:lastRenderedPageBreak/>
              <w:t>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lastRenderedPageBreak/>
              <w:t>Доля площади города, убираемая механизированным способом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общественно-деловой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Концентрация объектов культурного наследия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общественно-деловой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Уровень развития общественно-деловых районов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социально-досуговой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Сумма баллов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социально-досуговой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Безопасность передвижения вблизи учреждений социального обслуживания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социально-досуговой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Разнообразие предоставляемых сервисов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социально-досуговой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Доступность спортивных площадок для населения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социально-досуговой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объектов культурного наследия, в которых размещаются театр, музеи, библиотеки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социально-досуговой инфраструктуры и прилегающих пространств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Посещаемость музеев и театров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общегородского пространства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Сумма баллов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общегородского пространства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Общее количество ДТП в городе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общегородского пространства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Среднее расстояние между остановка общественного транспорта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общегородского пространства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Отношение площади зеленых насаждений внутри застроенной территории к общей площади застроенных земель в пределах городской черты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общегородского пространства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Количество мест, в которых сконцентрировано наибольшее количество фотографий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Состояние среды общегородского пространства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горожан, работающих в третичном секторе экономики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Эффективность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дворовых территорий, прошедших инвентаризацию, на которые оформлен электронный паспорт к общему количеству дворовых территорий, находящихся в муниципалитете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Эффективность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общественных территорий, прошедших инвентаризацию, на которые оформлен электронный паспорт к общему количеству общественных территорий, находящихся в муниципалитете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участия граждан и организаций в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дворовых территорий, благоустройство которых выполнено при финансовом участии граждан, организаций в выполнении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участия граждан и организаций в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общественных территорий, благоустройство которых выполнено при финансовом участии граждан, организаций в выполнении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участия граждан и организаций в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привлечения граждан и общественных организаций к реализации мероприятий по формированию комфортной городской среды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участия граждан и организаций в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внебюджетных средств, израсходованных на мероприятия, предусмотренных муниципальными программами формирования комфортной городской среды на 2017 - 2022 г. г. к общему объему израсходованных средств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Эффективность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Степень реализации муниципальных программ формирования современной городской среды в 2017 - 2022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Эффективность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Эффективность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благоустроенных дворовых территорий от общего количества дворовых территорий, нуждающихся в благоустройстве и включенных в муниципальную программу формирования комфортной городской среды на 2018 - 2022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Все категории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Эффективность реализации приоритетного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 xml:space="preserve">Доля благоустроенных общественных территорий от общего количества общественных территорий, нуждающихся в благоустройстве и включенных в муниципальную программу формирования </w:t>
            </w:r>
            <w:r w:rsidRPr="00263012">
              <w:rPr>
                <w:rFonts w:ascii="inherit" w:eastAsia="Times New Roman" w:hAnsi="inherit" w:cs="Arial"/>
                <w:color w:val="222222"/>
                <w:sz w:val="24"/>
                <w:szCs w:val="24"/>
                <w:lang w:eastAsia="ru-RU"/>
              </w:rPr>
              <w:lastRenderedPageBreak/>
              <w:t>комфортной городской среды на 2018 - 2022 г. 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lastRenderedPageBreak/>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Муниципальные образования - получатели субсидии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Эффективность расходования субсидии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Доля обязательств, предусмотренных соглашением о предоставлении субсидии, выполненных в установленный срок с надлежащим качеством по отношению к общему объему обязательств, предусмотренных соглашением, заключенным с Минстроем России в 2017 году применительно к субъекту РФ</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Индекс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r>
    </w:tbl>
    <w:p w:rsidR="00263012" w:rsidRPr="00263012" w:rsidRDefault="00263012" w:rsidP="00263012">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Таблица N 3</w:t>
      </w:r>
    </w:p>
    <w:p w:rsidR="00263012" w:rsidRPr="00263012" w:rsidRDefault="00263012" w:rsidP="00263012">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263012">
        <w:rPr>
          <w:rFonts w:ascii="Arial" w:eastAsia="Times New Roman" w:hAnsi="Arial" w:cs="Arial"/>
          <w:b/>
          <w:bCs/>
          <w:color w:val="222222"/>
          <w:sz w:val="24"/>
          <w:szCs w:val="24"/>
          <w:lang w:eastAsia="ru-RU"/>
        </w:rPr>
        <w:t>Лист оценки субъекта Российской Федерации</w:t>
      </w:r>
    </w:p>
    <w:p w:rsidR="00263012" w:rsidRPr="00263012" w:rsidRDefault="00263012" w:rsidP="0026301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263012">
        <w:rPr>
          <w:rFonts w:ascii="Arial" w:eastAsia="Times New Roman" w:hAnsi="Arial" w:cs="Arial"/>
          <w:color w:val="222222"/>
          <w:sz w:val="24"/>
          <w:szCs w:val="24"/>
          <w:lang w:eastAsia="ru-RU"/>
        </w:rPr>
        <w:t>Наименование субъекта Российской Федерации _____________________</w:t>
      </w:r>
    </w:p>
    <w:tbl>
      <w:tblPr>
        <w:tblW w:w="9060" w:type="dxa"/>
        <w:shd w:val="clear" w:color="auto" w:fill="FFFFFF"/>
        <w:tblCellMar>
          <w:left w:w="0" w:type="dxa"/>
          <w:right w:w="0" w:type="dxa"/>
        </w:tblCellMar>
        <w:tblLook w:val="04A0" w:firstRow="1" w:lastRow="0" w:firstColumn="1" w:lastColumn="0" w:noHBand="0" w:noVBand="1"/>
      </w:tblPr>
      <w:tblGrid>
        <w:gridCol w:w="1853"/>
        <w:gridCol w:w="2461"/>
        <w:gridCol w:w="3527"/>
        <w:gridCol w:w="1219"/>
      </w:tblGrid>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N п/п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Наименование муниципального образования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Населенный пункт, входящий в муниципальное образование, имеющее статус города (при наличии)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jc w:val="center"/>
              <w:textAlignment w:val="baseline"/>
              <w:rPr>
                <w:rFonts w:ascii="inherit" w:eastAsia="Times New Roman" w:hAnsi="inherit" w:cs="Arial"/>
                <w:b/>
                <w:bCs/>
                <w:color w:val="222222"/>
                <w:sz w:val="24"/>
                <w:szCs w:val="24"/>
                <w:lang w:eastAsia="ru-RU"/>
              </w:rPr>
            </w:pPr>
            <w:r w:rsidRPr="00263012">
              <w:rPr>
                <w:rFonts w:ascii="inherit" w:eastAsia="Times New Roman" w:hAnsi="inherit" w:cs="Arial"/>
                <w:b/>
                <w:bCs/>
                <w:color w:val="222222"/>
                <w:sz w:val="24"/>
                <w:szCs w:val="24"/>
                <w:lang w:eastAsia="ru-RU"/>
              </w:rPr>
              <w:t>Значение Индекса</w:t>
            </w: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r>
      <w:tr w:rsidR="00263012" w:rsidRPr="00263012" w:rsidTr="00263012">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Итого:</w:t>
            </w:r>
          </w:p>
          <w:p w:rsidR="00263012" w:rsidRPr="00263012" w:rsidRDefault="00263012" w:rsidP="00263012">
            <w:pPr>
              <w:spacing w:after="0" w:line="240" w:lineRule="auto"/>
              <w:textAlignment w:val="baseline"/>
              <w:rPr>
                <w:rFonts w:ascii="inherit" w:eastAsia="Times New Roman" w:hAnsi="inherit" w:cs="Arial"/>
                <w:color w:val="222222"/>
                <w:sz w:val="24"/>
                <w:szCs w:val="24"/>
                <w:lang w:eastAsia="ru-RU"/>
              </w:rPr>
            </w:pPr>
            <w:r w:rsidRPr="00263012">
              <w:rPr>
                <w:rFonts w:ascii="inherit" w:eastAsia="Times New Roman" w:hAnsi="inherit" w:cs="Arial"/>
                <w:color w:val="222222"/>
                <w:sz w:val="24"/>
                <w:szCs w:val="24"/>
                <w:lang w:eastAsia="ru-RU"/>
              </w:rPr>
              <w:t>Индекс по субъекту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263012" w:rsidRPr="00263012" w:rsidRDefault="00263012" w:rsidP="00263012">
            <w:pPr>
              <w:spacing w:after="0" w:line="240" w:lineRule="auto"/>
              <w:rPr>
                <w:rFonts w:ascii="Times New Roman" w:eastAsia="Times New Roman" w:hAnsi="Times New Roman" w:cs="Times New Roman"/>
                <w:sz w:val="20"/>
                <w:szCs w:val="20"/>
                <w:lang w:eastAsia="ru-RU"/>
              </w:rPr>
            </w:pPr>
          </w:p>
        </w:tc>
      </w:tr>
    </w:tbl>
    <w:p w:rsidR="00062BD0" w:rsidRDefault="00062BD0"/>
    <w:sectPr w:rsidR="00062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59"/>
    <w:rsid w:val="00062BD0"/>
    <w:rsid w:val="000D7B59"/>
    <w:rsid w:val="00263012"/>
    <w:rsid w:val="0042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8D5D1-B2B0-4B62-9486-01B7C4D5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3012"/>
  </w:style>
  <w:style w:type="paragraph" w:customStyle="1" w:styleId="msonormal0">
    <w:name w:val="msonormal"/>
    <w:basedOn w:val="a"/>
    <w:rsid w:val="0026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26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263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3012"/>
    <w:rPr>
      <w:color w:val="0000FF"/>
      <w:u w:val="single"/>
    </w:rPr>
  </w:style>
  <w:style w:type="character" w:styleId="a4">
    <w:name w:val="FollowedHyperlink"/>
    <w:basedOn w:val="a0"/>
    <w:uiPriority w:val="99"/>
    <w:semiHidden/>
    <w:unhideWhenUsed/>
    <w:rsid w:val="00263012"/>
    <w:rPr>
      <w:color w:val="800080"/>
      <w:u w:val="single"/>
    </w:rPr>
  </w:style>
  <w:style w:type="paragraph" w:customStyle="1" w:styleId="pr">
    <w:name w:val="pr"/>
    <w:basedOn w:val="a"/>
    <w:rsid w:val="0026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6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2630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06826">
      <w:bodyDiv w:val="1"/>
      <w:marLeft w:val="0"/>
      <w:marRight w:val="0"/>
      <w:marTop w:val="0"/>
      <w:marBottom w:val="0"/>
      <w:divBdr>
        <w:top w:val="none" w:sz="0" w:space="0" w:color="auto"/>
        <w:left w:val="none" w:sz="0" w:space="0" w:color="auto"/>
        <w:bottom w:val="none" w:sz="0" w:space="0" w:color="auto"/>
        <w:right w:val="none" w:sz="0" w:space="0" w:color="auto"/>
      </w:divBdr>
      <w:divsChild>
        <w:div w:id="193931597">
          <w:marLeft w:val="0"/>
          <w:marRight w:val="0"/>
          <w:marTop w:val="0"/>
          <w:marBottom w:val="0"/>
          <w:divBdr>
            <w:top w:val="none" w:sz="0" w:space="0" w:color="auto"/>
            <w:left w:val="none" w:sz="0" w:space="0" w:color="auto"/>
            <w:bottom w:val="none" w:sz="0" w:space="0" w:color="auto"/>
            <w:right w:val="none" w:sz="0" w:space="0" w:color="auto"/>
          </w:divBdr>
        </w:div>
        <w:div w:id="2056083719">
          <w:marLeft w:val="0"/>
          <w:marRight w:val="0"/>
          <w:marTop w:val="0"/>
          <w:marBottom w:val="0"/>
          <w:divBdr>
            <w:top w:val="none" w:sz="0" w:space="0" w:color="auto"/>
            <w:left w:val="none" w:sz="0" w:space="0" w:color="auto"/>
            <w:bottom w:val="none" w:sz="0" w:space="0" w:color="auto"/>
            <w:right w:val="none" w:sz="0" w:space="0" w:color="auto"/>
          </w:divBdr>
        </w:div>
        <w:div w:id="130826558">
          <w:marLeft w:val="0"/>
          <w:marRight w:val="0"/>
          <w:marTop w:val="0"/>
          <w:marBottom w:val="0"/>
          <w:divBdr>
            <w:top w:val="none" w:sz="0" w:space="0" w:color="auto"/>
            <w:left w:val="none" w:sz="0" w:space="0" w:color="auto"/>
            <w:bottom w:val="none" w:sz="0" w:space="0" w:color="auto"/>
            <w:right w:val="none" w:sz="0" w:space="0" w:color="auto"/>
          </w:divBdr>
        </w:div>
        <w:div w:id="75171304">
          <w:marLeft w:val="0"/>
          <w:marRight w:val="0"/>
          <w:marTop w:val="0"/>
          <w:marBottom w:val="0"/>
          <w:divBdr>
            <w:top w:val="none" w:sz="0" w:space="0" w:color="auto"/>
            <w:left w:val="none" w:sz="0" w:space="0" w:color="auto"/>
            <w:bottom w:val="none" w:sz="0" w:space="0" w:color="auto"/>
            <w:right w:val="none" w:sz="0" w:space="0" w:color="auto"/>
          </w:divBdr>
        </w:div>
        <w:div w:id="623925404">
          <w:marLeft w:val="0"/>
          <w:marRight w:val="0"/>
          <w:marTop w:val="0"/>
          <w:marBottom w:val="0"/>
          <w:divBdr>
            <w:top w:val="none" w:sz="0" w:space="0" w:color="auto"/>
            <w:left w:val="none" w:sz="0" w:space="0" w:color="auto"/>
            <w:bottom w:val="none" w:sz="0" w:space="0" w:color="auto"/>
            <w:right w:val="none" w:sz="0" w:space="0" w:color="auto"/>
          </w:divBdr>
        </w:div>
        <w:div w:id="2042633718">
          <w:marLeft w:val="0"/>
          <w:marRight w:val="0"/>
          <w:marTop w:val="0"/>
          <w:marBottom w:val="0"/>
          <w:divBdr>
            <w:top w:val="none" w:sz="0" w:space="0" w:color="auto"/>
            <w:left w:val="none" w:sz="0" w:space="0" w:color="auto"/>
            <w:bottom w:val="none" w:sz="0" w:space="0" w:color="auto"/>
            <w:right w:val="none" w:sz="0" w:space="0" w:color="auto"/>
          </w:divBdr>
        </w:div>
        <w:div w:id="1788695093">
          <w:marLeft w:val="0"/>
          <w:marRight w:val="0"/>
          <w:marTop w:val="0"/>
          <w:marBottom w:val="0"/>
          <w:divBdr>
            <w:top w:val="none" w:sz="0" w:space="0" w:color="auto"/>
            <w:left w:val="none" w:sz="0" w:space="0" w:color="auto"/>
            <w:bottom w:val="none" w:sz="0" w:space="0" w:color="auto"/>
            <w:right w:val="none" w:sz="0" w:space="0" w:color="auto"/>
          </w:divBdr>
        </w:div>
        <w:div w:id="1382561712">
          <w:marLeft w:val="0"/>
          <w:marRight w:val="0"/>
          <w:marTop w:val="0"/>
          <w:marBottom w:val="0"/>
          <w:divBdr>
            <w:top w:val="none" w:sz="0" w:space="0" w:color="auto"/>
            <w:left w:val="none" w:sz="0" w:space="0" w:color="auto"/>
            <w:bottom w:val="none" w:sz="0" w:space="0" w:color="auto"/>
            <w:right w:val="none" w:sz="0" w:space="0" w:color="auto"/>
          </w:divBdr>
        </w:div>
        <w:div w:id="2087724564">
          <w:marLeft w:val="0"/>
          <w:marRight w:val="0"/>
          <w:marTop w:val="0"/>
          <w:marBottom w:val="0"/>
          <w:divBdr>
            <w:top w:val="none" w:sz="0" w:space="0" w:color="auto"/>
            <w:left w:val="none" w:sz="0" w:space="0" w:color="auto"/>
            <w:bottom w:val="none" w:sz="0" w:space="0" w:color="auto"/>
            <w:right w:val="none" w:sz="0" w:space="0" w:color="auto"/>
          </w:divBdr>
        </w:div>
        <w:div w:id="1782143704">
          <w:marLeft w:val="0"/>
          <w:marRight w:val="0"/>
          <w:marTop w:val="0"/>
          <w:marBottom w:val="0"/>
          <w:divBdr>
            <w:top w:val="none" w:sz="0" w:space="0" w:color="auto"/>
            <w:left w:val="none" w:sz="0" w:space="0" w:color="auto"/>
            <w:bottom w:val="none" w:sz="0" w:space="0" w:color="auto"/>
            <w:right w:val="none" w:sz="0" w:space="0" w:color="auto"/>
          </w:divBdr>
        </w:div>
        <w:div w:id="748618408">
          <w:marLeft w:val="0"/>
          <w:marRight w:val="0"/>
          <w:marTop w:val="0"/>
          <w:marBottom w:val="0"/>
          <w:divBdr>
            <w:top w:val="none" w:sz="0" w:space="0" w:color="auto"/>
            <w:left w:val="none" w:sz="0" w:space="0" w:color="auto"/>
            <w:bottom w:val="none" w:sz="0" w:space="0" w:color="auto"/>
            <w:right w:val="none" w:sz="0" w:space="0" w:color="auto"/>
          </w:divBdr>
        </w:div>
        <w:div w:id="1898855830">
          <w:marLeft w:val="0"/>
          <w:marRight w:val="0"/>
          <w:marTop w:val="0"/>
          <w:marBottom w:val="0"/>
          <w:divBdr>
            <w:top w:val="none" w:sz="0" w:space="0" w:color="auto"/>
            <w:left w:val="none" w:sz="0" w:space="0" w:color="auto"/>
            <w:bottom w:val="none" w:sz="0" w:space="0" w:color="auto"/>
            <w:right w:val="none" w:sz="0" w:space="0" w:color="auto"/>
          </w:divBdr>
        </w:div>
        <w:div w:id="1241019464">
          <w:marLeft w:val="0"/>
          <w:marRight w:val="0"/>
          <w:marTop w:val="0"/>
          <w:marBottom w:val="0"/>
          <w:divBdr>
            <w:top w:val="none" w:sz="0" w:space="0" w:color="auto"/>
            <w:left w:val="none" w:sz="0" w:space="0" w:color="auto"/>
            <w:bottom w:val="none" w:sz="0" w:space="0" w:color="auto"/>
            <w:right w:val="none" w:sz="0" w:space="0" w:color="auto"/>
          </w:divBdr>
        </w:div>
        <w:div w:id="109906126">
          <w:marLeft w:val="0"/>
          <w:marRight w:val="0"/>
          <w:marTop w:val="0"/>
          <w:marBottom w:val="0"/>
          <w:divBdr>
            <w:top w:val="none" w:sz="0" w:space="0" w:color="auto"/>
            <w:left w:val="none" w:sz="0" w:space="0" w:color="auto"/>
            <w:bottom w:val="none" w:sz="0" w:space="0" w:color="auto"/>
            <w:right w:val="none" w:sz="0" w:space="0" w:color="auto"/>
          </w:divBdr>
        </w:div>
        <w:div w:id="1266618825">
          <w:marLeft w:val="0"/>
          <w:marRight w:val="0"/>
          <w:marTop w:val="0"/>
          <w:marBottom w:val="0"/>
          <w:divBdr>
            <w:top w:val="none" w:sz="0" w:space="0" w:color="auto"/>
            <w:left w:val="none" w:sz="0" w:space="0" w:color="auto"/>
            <w:bottom w:val="none" w:sz="0" w:space="0" w:color="auto"/>
            <w:right w:val="none" w:sz="0" w:space="0" w:color="auto"/>
          </w:divBdr>
        </w:div>
        <w:div w:id="1408455051">
          <w:marLeft w:val="0"/>
          <w:marRight w:val="0"/>
          <w:marTop w:val="0"/>
          <w:marBottom w:val="0"/>
          <w:divBdr>
            <w:top w:val="none" w:sz="0" w:space="0" w:color="auto"/>
            <w:left w:val="none" w:sz="0" w:space="0" w:color="auto"/>
            <w:bottom w:val="none" w:sz="0" w:space="0" w:color="auto"/>
            <w:right w:val="none" w:sz="0" w:space="0" w:color="auto"/>
          </w:divBdr>
        </w:div>
        <w:div w:id="1591623004">
          <w:marLeft w:val="0"/>
          <w:marRight w:val="0"/>
          <w:marTop w:val="0"/>
          <w:marBottom w:val="0"/>
          <w:divBdr>
            <w:top w:val="none" w:sz="0" w:space="0" w:color="auto"/>
            <w:left w:val="none" w:sz="0" w:space="0" w:color="auto"/>
            <w:bottom w:val="none" w:sz="0" w:space="0" w:color="auto"/>
            <w:right w:val="none" w:sz="0" w:space="0" w:color="auto"/>
          </w:divBdr>
        </w:div>
        <w:div w:id="221210008">
          <w:marLeft w:val="0"/>
          <w:marRight w:val="0"/>
          <w:marTop w:val="0"/>
          <w:marBottom w:val="0"/>
          <w:divBdr>
            <w:top w:val="none" w:sz="0" w:space="0" w:color="auto"/>
            <w:left w:val="none" w:sz="0" w:space="0" w:color="auto"/>
            <w:bottom w:val="none" w:sz="0" w:space="0" w:color="auto"/>
            <w:right w:val="none" w:sz="0" w:space="0" w:color="auto"/>
          </w:divBdr>
        </w:div>
        <w:div w:id="272130725">
          <w:marLeft w:val="0"/>
          <w:marRight w:val="0"/>
          <w:marTop w:val="0"/>
          <w:marBottom w:val="0"/>
          <w:divBdr>
            <w:top w:val="none" w:sz="0" w:space="0" w:color="auto"/>
            <w:left w:val="none" w:sz="0" w:space="0" w:color="auto"/>
            <w:bottom w:val="none" w:sz="0" w:space="0" w:color="auto"/>
            <w:right w:val="none" w:sz="0" w:space="0" w:color="auto"/>
          </w:divBdr>
        </w:div>
        <w:div w:id="2102867070">
          <w:marLeft w:val="0"/>
          <w:marRight w:val="0"/>
          <w:marTop w:val="0"/>
          <w:marBottom w:val="0"/>
          <w:divBdr>
            <w:top w:val="none" w:sz="0" w:space="0" w:color="auto"/>
            <w:left w:val="none" w:sz="0" w:space="0" w:color="auto"/>
            <w:bottom w:val="none" w:sz="0" w:space="0" w:color="auto"/>
            <w:right w:val="none" w:sz="0" w:space="0" w:color="auto"/>
          </w:divBdr>
        </w:div>
        <w:div w:id="1405488838">
          <w:marLeft w:val="0"/>
          <w:marRight w:val="0"/>
          <w:marTop w:val="0"/>
          <w:marBottom w:val="0"/>
          <w:divBdr>
            <w:top w:val="none" w:sz="0" w:space="0" w:color="auto"/>
            <w:left w:val="none" w:sz="0" w:space="0" w:color="auto"/>
            <w:bottom w:val="none" w:sz="0" w:space="0" w:color="auto"/>
            <w:right w:val="none" w:sz="0" w:space="0" w:color="auto"/>
          </w:divBdr>
        </w:div>
        <w:div w:id="135904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rulaws.ru/acts/Postanovlenie-Glavnogo-gosudarstvennogo-sanitarnogo-vracha-RF-ot-18.04.2017-N-56/"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6916</Words>
  <Characters>39423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2018-02-14T05:30:00Z</dcterms:created>
  <dcterms:modified xsi:type="dcterms:W3CDTF">2018-02-14T05:30:00Z</dcterms:modified>
</cp:coreProperties>
</file>