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521196" w:rsidTr="003A6BD5">
        <w:tc>
          <w:tcPr>
            <w:tcW w:w="5106" w:type="dxa"/>
          </w:tcPr>
          <w:p w:rsidR="009F144E" w:rsidRPr="00DF7BD7" w:rsidRDefault="009F144E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«_____» __________ №________________</w:t>
            </w:r>
          </w:p>
          <w:p w:rsidR="00521196" w:rsidRPr="00DF7BD7" w:rsidRDefault="009F144E" w:rsidP="003A6BD5">
            <w:pPr>
              <w:ind w:lef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5099" w:type="dxa"/>
          </w:tcPr>
          <w:p w:rsidR="00F175F9" w:rsidRPr="00100A30" w:rsidRDefault="00F175F9" w:rsidP="00F175F9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A30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521196" w:rsidRPr="00521196" w:rsidRDefault="00521196" w:rsidP="00521196">
            <w:pPr>
              <w:ind w:left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196" w:rsidRDefault="00521196" w:rsidP="005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27" w:rsidRDefault="003F1927" w:rsidP="003F1927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175F9" w:rsidRPr="00D843A9" w:rsidRDefault="00F175F9" w:rsidP="00F175F9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A9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F175F9" w:rsidRPr="00D843A9" w:rsidRDefault="00F175F9" w:rsidP="00F175F9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A9"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F175F9" w:rsidRDefault="00F175F9" w:rsidP="00F175F9">
      <w:pPr>
        <w:tabs>
          <w:tab w:val="left" w:pos="-142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175F9" w:rsidRDefault="00F175F9" w:rsidP="00F175F9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374C2A">
        <w:rPr>
          <w:rFonts w:ascii="Times New Roman" w:hAnsi="Times New Roman"/>
          <w:sz w:val="26"/>
          <w:szCs w:val="26"/>
        </w:rPr>
        <w:t xml:space="preserve">В соответствии с ч. 2 статьи 182 ЖК РФ и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616750">
        <w:rPr>
          <w:rFonts w:ascii="Times New Roman" w:hAnsi="Times New Roman"/>
          <w:sz w:val="26"/>
          <w:szCs w:val="26"/>
        </w:rPr>
        <w:t>администрации муниципального образования «</w:t>
      </w:r>
      <w:r w:rsidR="00EC410C">
        <w:rPr>
          <w:rFonts w:ascii="Times New Roman" w:hAnsi="Times New Roman"/>
          <w:sz w:val="26"/>
          <w:szCs w:val="26"/>
        </w:rPr>
        <w:t>Бирофельдское сельское</w:t>
      </w:r>
      <w:r w:rsidR="00834A5D">
        <w:rPr>
          <w:rFonts w:ascii="Times New Roman" w:hAnsi="Times New Roman"/>
          <w:sz w:val="26"/>
          <w:szCs w:val="26"/>
        </w:rPr>
        <w:t xml:space="preserve"> поселение» от </w:t>
      </w:r>
      <w:r w:rsidR="00EC410C">
        <w:rPr>
          <w:rFonts w:ascii="Times New Roman" w:hAnsi="Times New Roman"/>
          <w:sz w:val="26"/>
          <w:szCs w:val="26"/>
        </w:rPr>
        <w:t>24</w:t>
      </w:r>
      <w:r w:rsidR="00616750">
        <w:rPr>
          <w:rFonts w:ascii="Times New Roman" w:hAnsi="Times New Roman"/>
          <w:sz w:val="26"/>
          <w:szCs w:val="26"/>
        </w:rPr>
        <w:t>.</w:t>
      </w:r>
      <w:r w:rsidR="00EC410C">
        <w:rPr>
          <w:rFonts w:ascii="Times New Roman" w:hAnsi="Times New Roman"/>
          <w:sz w:val="26"/>
          <w:szCs w:val="26"/>
        </w:rPr>
        <w:t>12</w:t>
      </w:r>
      <w:r w:rsidR="00616750">
        <w:rPr>
          <w:rFonts w:ascii="Times New Roman" w:hAnsi="Times New Roman"/>
          <w:sz w:val="26"/>
          <w:szCs w:val="26"/>
        </w:rPr>
        <w:t>.201</w:t>
      </w:r>
      <w:r w:rsidR="00EC410C">
        <w:rPr>
          <w:rFonts w:ascii="Times New Roman" w:hAnsi="Times New Roman"/>
          <w:sz w:val="26"/>
          <w:szCs w:val="26"/>
        </w:rPr>
        <w:t>5</w:t>
      </w:r>
      <w:r w:rsidR="00616750">
        <w:rPr>
          <w:rFonts w:ascii="Times New Roman" w:hAnsi="Times New Roman"/>
          <w:sz w:val="26"/>
          <w:szCs w:val="26"/>
        </w:rPr>
        <w:t xml:space="preserve"> № </w:t>
      </w:r>
      <w:r w:rsidR="00EC410C">
        <w:rPr>
          <w:rFonts w:ascii="Times New Roman" w:hAnsi="Times New Roman"/>
          <w:sz w:val="26"/>
          <w:szCs w:val="26"/>
        </w:rPr>
        <w:t>186</w:t>
      </w:r>
      <w:r w:rsidR="00616750">
        <w:rPr>
          <w:rFonts w:ascii="Times New Roman" w:hAnsi="Times New Roman"/>
          <w:sz w:val="26"/>
          <w:szCs w:val="26"/>
        </w:rPr>
        <w:t xml:space="preserve"> </w:t>
      </w:r>
      <w:r w:rsidR="0087210D">
        <w:rPr>
          <w:rFonts w:ascii="Times New Roman" w:hAnsi="Times New Roman"/>
          <w:sz w:val="26"/>
          <w:szCs w:val="26"/>
        </w:rPr>
        <w:t>«Об утверждении краткосрочного плана реализации региональной программы</w:t>
      </w:r>
      <w:r w:rsidR="00616750">
        <w:rPr>
          <w:rFonts w:ascii="Times New Roman" w:hAnsi="Times New Roman"/>
          <w:sz w:val="26"/>
          <w:szCs w:val="26"/>
        </w:rPr>
        <w:t xml:space="preserve"> по</w:t>
      </w:r>
      <w:r w:rsidR="0087210D">
        <w:rPr>
          <w:rFonts w:ascii="Times New Roman" w:hAnsi="Times New Roman"/>
          <w:sz w:val="26"/>
          <w:szCs w:val="26"/>
        </w:rPr>
        <w:t xml:space="preserve"> проведени</w:t>
      </w:r>
      <w:r w:rsidR="00616750">
        <w:rPr>
          <w:rFonts w:ascii="Times New Roman" w:hAnsi="Times New Roman"/>
          <w:sz w:val="26"/>
          <w:szCs w:val="26"/>
        </w:rPr>
        <w:t>ю</w:t>
      </w:r>
      <w:r w:rsidR="0087210D">
        <w:rPr>
          <w:rFonts w:ascii="Times New Roman" w:hAnsi="Times New Roman"/>
          <w:sz w:val="26"/>
          <w:szCs w:val="26"/>
        </w:rPr>
        <w:t xml:space="preserve"> капитального ремонта общего имущества многоквартирных дом</w:t>
      </w:r>
      <w:r w:rsidR="00616750">
        <w:rPr>
          <w:rFonts w:ascii="Times New Roman" w:hAnsi="Times New Roman"/>
          <w:sz w:val="26"/>
          <w:szCs w:val="26"/>
        </w:rPr>
        <w:t>ов</w:t>
      </w:r>
      <w:r w:rsidR="0087210D">
        <w:rPr>
          <w:rFonts w:ascii="Times New Roman" w:hAnsi="Times New Roman"/>
          <w:sz w:val="26"/>
          <w:szCs w:val="26"/>
        </w:rPr>
        <w:t>, расположенных на территории</w:t>
      </w:r>
      <w:r w:rsidR="00616750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 w:rsidR="00EC410C">
        <w:rPr>
          <w:rFonts w:ascii="Times New Roman" w:hAnsi="Times New Roman"/>
          <w:sz w:val="26"/>
          <w:szCs w:val="26"/>
        </w:rPr>
        <w:t>Бирофельдское сельское</w:t>
      </w:r>
      <w:r w:rsidR="00616750">
        <w:rPr>
          <w:rFonts w:ascii="Times New Roman" w:hAnsi="Times New Roman"/>
          <w:sz w:val="26"/>
          <w:szCs w:val="26"/>
        </w:rPr>
        <w:t xml:space="preserve"> поселение» </w:t>
      </w:r>
      <w:r w:rsidR="00EC410C">
        <w:rPr>
          <w:rFonts w:ascii="Times New Roman" w:hAnsi="Times New Roman"/>
          <w:sz w:val="26"/>
          <w:szCs w:val="26"/>
        </w:rPr>
        <w:t>Биробиджанского</w:t>
      </w:r>
      <w:r w:rsidR="0061675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87210D">
        <w:rPr>
          <w:rFonts w:ascii="Times New Roman" w:hAnsi="Times New Roman"/>
          <w:sz w:val="26"/>
          <w:szCs w:val="26"/>
        </w:rPr>
        <w:t xml:space="preserve"> Еврейской автономной области</w:t>
      </w:r>
      <w:r w:rsidR="0079326D">
        <w:rPr>
          <w:rFonts w:ascii="Times New Roman" w:hAnsi="Times New Roman"/>
          <w:sz w:val="26"/>
          <w:szCs w:val="26"/>
        </w:rPr>
        <w:t xml:space="preserve"> на 2017-2019 годы</w:t>
      </w:r>
      <w:r w:rsidR="00616750">
        <w:rPr>
          <w:rFonts w:ascii="Times New Roman" w:hAnsi="Times New Roman"/>
          <w:sz w:val="26"/>
          <w:szCs w:val="26"/>
        </w:rPr>
        <w:t xml:space="preserve">» </w:t>
      </w:r>
      <w:r w:rsidR="00B53BA9">
        <w:rPr>
          <w:rFonts w:ascii="Times New Roman" w:hAnsi="Times New Roman"/>
          <w:sz w:val="26"/>
          <w:szCs w:val="26"/>
        </w:rPr>
        <w:t xml:space="preserve">в редакции постановления от 17.08.2017 № 93 </w:t>
      </w:r>
      <w:r w:rsidRPr="00374C2A">
        <w:rPr>
          <w:rFonts w:ascii="Times New Roman" w:hAnsi="Times New Roman"/>
          <w:sz w:val="26"/>
          <w:szCs w:val="26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направляет предл</w:t>
      </w:r>
      <w:r>
        <w:rPr>
          <w:rFonts w:ascii="Times New Roman" w:hAnsi="Times New Roman"/>
          <w:sz w:val="26"/>
          <w:szCs w:val="26"/>
        </w:rPr>
        <w:t>ожение о проведении</w:t>
      </w:r>
      <w:r w:rsidRPr="00374C2A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  <w:u w:val="single"/>
        </w:rPr>
        <w:t>201</w:t>
      </w:r>
      <w:r w:rsidR="00B53BA9">
        <w:rPr>
          <w:rFonts w:ascii="Times New Roman" w:hAnsi="Times New Roman"/>
          <w:sz w:val="26"/>
          <w:szCs w:val="26"/>
          <w:u w:val="single"/>
        </w:rPr>
        <w:t>8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74C2A">
        <w:rPr>
          <w:rFonts w:ascii="Times New Roman" w:hAnsi="Times New Roman"/>
          <w:sz w:val="26"/>
          <w:szCs w:val="26"/>
          <w:u w:val="single"/>
        </w:rPr>
        <w:t>году</w:t>
      </w:r>
      <w:r w:rsidRPr="00374C2A">
        <w:rPr>
          <w:rFonts w:ascii="Times New Roman" w:hAnsi="Times New Roman"/>
          <w:sz w:val="26"/>
          <w:szCs w:val="26"/>
        </w:rPr>
        <w:t xml:space="preserve"> капитального ремонта общего имущества многоквартирного дома, расположенного по адресу:</w:t>
      </w:r>
    </w:p>
    <w:p w:rsidR="00F175F9" w:rsidRPr="0055079E" w:rsidRDefault="00F175F9" w:rsidP="00F175F9">
      <w:pPr>
        <w:spacing w:after="0"/>
        <w:ind w:left="1416" w:firstLine="708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EC410C">
        <w:rPr>
          <w:rFonts w:ascii="Times New Roman" w:hAnsi="Times New Roman"/>
          <w:sz w:val="26"/>
          <w:szCs w:val="26"/>
          <w:u w:val="single"/>
        </w:rPr>
        <w:t>с. Бирофельд, ул. Центральная, д.2</w:t>
      </w:r>
      <w:r>
        <w:rPr>
          <w:rFonts w:ascii="Times New Roman" w:hAnsi="Times New Roman"/>
          <w:sz w:val="26"/>
          <w:szCs w:val="26"/>
          <w:u w:val="single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  .</w:t>
      </w:r>
      <w:proofErr w:type="gramEnd"/>
    </w:p>
    <w:p w:rsidR="00F175F9" w:rsidRPr="00374C2A" w:rsidRDefault="00F175F9" w:rsidP="00F175F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17"/>
        <w:gridCol w:w="2268"/>
        <w:gridCol w:w="2552"/>
      </w:tblGrid>
      <w:tr w:rsidR="00F175F9" w:rsidRPr="002C3728" w:rsidTr="00300CF6">
        <w:trPr>
          <w:trHeight w:val="711"/>
        </w:trPr>
        <w:tc>
          <w:tcPr>
            <w:tcW w:w="556" w:type="dxa"/>
          </w:tcPr>
          <w:p w:rsidR="00F175F9" w:rsidRPr="002C3728" w:rsidRDefault="00F175F9" w:rsidP="0016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175F9" w:rsidRPr="002C3728" w:rsidRDefault="00F175F9" w:rsidP="0016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268" w:type="dxa"/>
            <w:vAlign w:val="center"/>
          </w:tcPr>
          <w:p w:rsidR="00F175F9" w:rsidRPr="002C3728" w:rsidRDefault="00F175F9" w:rsidP="0016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ремонта, руб.</w:t>
            </w:r>
          </w:p>
        </w:tc>
        <w:tc>
          <w:tcPr>
            <w:tcW w:w="2552" w:type="dxa"/>
            <w:vAlign w:val="center"/>
          </w:tcPr>
          <w:p w:rsidR="00F175F9" w:rsidRPr="002C3728" w:rsidRDefault="00F175F9" w:rsidP="0016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капитального ремонта</w:t>
            </w:r>
          </w:p>
        </w:tc>
      </w:tr>
      <w:tr w:rsidR="00F175F9" w:rsidRPr="002C3728" w:rsidTr="00300CF6">
        <w:trPr>
          <w:trHeight w:val="365"/>
        </w:trPr>
        <w:tc>
          <w:tcPr>
            <w:tcW w:w="556" w:type="dxa"/>
            <w:vAlign w:val="center"/>
          </w:tcPr>
          <w:p w:rsidR="00F175F9" w:rsidRPr="002C3728" w:rsidRDefault="00616750" w:rsidP="0016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175F9" w:rsidRPr="00D843A9" w:rsidRDefault="00F175F9" w:rsidP="0016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268" w:type="dxa"/>
            <w:vAlign w:val="center"/>
          </w:tcPr>
          <w:p w:rsidR="00F175F9" w:rsidRPr="002C3728" w:rsidRDefault="00EB0E18" w:rsidP="0030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240,02</w:t>
            </w:r>
          </w:p>
        </w:tc>
        <w:tc>
          <w:tcPr>
            <w:tcW w:w="2552" w:type="dxa"/>
            <w:vAlign w:val="center"/>
          </w:tcPr>
          <w:p w:rsidR="00F175F9" w:rsidRPr="002C3728" w:rsidRDefault="00F175F9" w:rsidP="0030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00CF6" w:rsidRPr="002C3728" w:rsidTr="00300CF6">
        <w:trPr>
          <w:trHeight w:val="413"/>
        </w:trPr>
        <w:tc>
          <w:tcPr>
            <w:tcW w:w="556" w:type="dxa"/>
            <w:vAlign w:val="center"/>
          </w:tcPr>
          <w:p w:rsidR="00300CF6" w:rsidRDefault="00300CF6" w:rsidP="0016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300CF6" w:rsidRDefault="00300CF6" w:rsidP="0016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268" w:type="dxa"/>
            <w:vAlign w:val="center"/>
          </w:tcPr>
          <w:p w:rsidR="00300CF6" w:rsidRPr="00300CF6" w:rsidRDefault="00300CF6" w:rsidP="0030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340 696,8</w:t>
            </w:r>
          </w:p>
        </w:tc>
        <w:tc>
          <w:tcPr>
            <w:tcW w:w="2552" w:type="dxa"/>
            <w:vAlign w:val="center"/>
          </w:tcPr>
          <w:p w:rsidR="00300CF6" w:rsidRDefault="00300CF6" w:rsidP="0030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F175F9" w:rsidRPr="00D843A9" w:rsidRDefault="00F175F9" w:rsidP="00F175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F9" w:rsidRDefault="00F175F9" w:rsidP="00F175F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предельную стоимость работ по капитальному ремонту включаются затраты на подготовку проектно-сметной документации и строительный контроль.</w:t>
      </w:r>
    </w:p>
    <w:p w:rsidR="00F175F9" w:rsidRPr="00374C2A" w:rsidRDefault="00F175F9" w:rsidP="00F175F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74C2A">
        <w:rPr>
          <w:rFonts w:ascii="Times New Roman" w:hAnsi="Times New Roman"/>
          <w:sz w:val="26"/>
          <w:szCs w:val="26"/>
        </w:rPr>
        <w:t xml:space="preserve"> Источники финансирования:</w:t>
      </w:r>
    </w:p>
    <w:p w:rsidR="00F175F9" w:rsidRPr="00374C2A" w:rsidRDefault="00F175F9" w:rsidP="00F175F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74C2A">
        <w:rPr>
          <w:rFonts w:ascii="Times New Roman" w:hAnsi="Times New Roman"/>
          <w:sz w:val="26"/>
          <w:szCs w:val="26"/>
        </w:rPr>
        <w:t>1. средства собственников помещений</w:t>
      </w:r>
    </w:p>
    <w:p w:rsidR="00F175F9" w:rsidRPr="00374C2A" w:rsidRDefault="00F175F9" w:rsidP="00F175F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74C2A">
        <w:rPr>
          <w:rFonts w:ascii="Times New Roman" w:hAnsi="Times New Roman"/>
          <w:sz w:val="26"/>
          <w:szCs w:val="26"/>
        </w:rPr>
        <w:t>2. другие источники финансирования при их наличии</w:t>
      </w:r>
    </w:p>
    <w:p w:rsidR="00F175F9" w:rsidRPr="00374C2A" w:rsidRDefault="00F175F9" w:rsidP="00F175F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74C2A">
        <w:rPr>
          <w:rFonts w:ascii="Times New Roman" w:hAnsi="Times New Roman"/>
          <w:sz w:val="26"/>
          <w:szCs w:val="26"/>
        </w:rPr>
        <w:t xml:space="preserve">Окончательная стоимость работ определяется после </w:t>
      </w:r>
      <w:r>
        <w:rPr>
          <w:rFonts w:ascii="Times New Roman" w:hAnsi="Times New Roman"/>
          <w:sz w:val="26"/>
          <w:szCs w:val="26"/>
        </w:rPr>
        <w:t xml:space="preserve">согласования и утверждения проектно-сметной документации и </w:t>
      </w:r>
      <w:r w:rsidRPr="00374C2A">
        <w:rPr>
          <w:rFonts w:ascii="Times New Roman" w:hAnsi="Times New Roman"/>
          <w:sz w:val="26"/>
          <w:szCs w:val="26"/>
        </w:rPr>
        <w:t>проведения конкурсных процедур по выбору подрядных организаций.</w:t>
      </w:r>
    </w:p>
    <w:p w:rsidR="00B10226" w:rsidRPr="00374C2A" w:rsidRDefault="00B10226" w:rsidP="00B10226">
      <w:pPr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соответствии с ч</w:t>
      </w:r>
      <w:r w:rsidRPr="00374C2A">
        <w:rPr>
          <w:rFonts w:ascii="Times New Roman" w:hAnsi="Times New Roman"/>
          <w:sz w:val="26"/>
          <w:szCs w:val="26"/>
        </w:rPr>
        <w:t xml:space="preserve">.4 ст. 189 Жилищного кодекса РФ </w:t>
      </w:r>
      <w:r w:rsidRPr="00374C2A">
        <w:rPr>
          <w:rFonts w:ascii="Times New Roman" w:eastAsia="Times New Roman" w:hAnsi="Times New Roman" w:cs="Times New Roman"/>
          <w:sz w:val="26"/>
          <w:szCs w:val="26"/>
        </w:rPr>
        <w:t xml:space="preserve">собственники помещений МКД не позднее чем через 3 месяца с момента получения предложения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 </w:t>
      </w:r>
      <w:r w:rsidRPr="00374C2A">
        <w:rPr>
          <w:rFonts w:ascii="Times New Roman" w:eastAsia="Times New Roman" w:hAnsi="Times New Roman" w:cs="Times New Roman"/>
          <w:i/>
          <w:sz w:val="26"/>
          <w:szCs w:val="26"/>
        </w:rPr>
        <w:t>(форму протокола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74C2A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образец заполнения можно скачать на сайте регионального оператора </w:t>
      </w:r>
      <w:proofErr w:type="spellStart"/>
      <w:r w:rsidRPr="00374C2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fkr</w:t>
      </w:r>
      <w:proofErr w:type="spellEnd"/>
      <w:r w:rsidRPr="00374C2A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proofErr w:type="spellStart"/>
      <w:r w:rsidRPr="00374C2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eao</w:t>
      </w:r>
      <w:proofErr w:type="spellEnd"/>
      <w:r w:rsidRPr="00374C2A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spellStart"/>
      <w:r w:rsidRPr="00374C2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374C2A">
        <w:rPr>
          <w:rFonts w:ascii="Times New Roman" w:eastAsia="Times New Roman" w:hAnsi="Times New Roman" w:cs="Times New Roman"/>
          <w:i/>
          <w:sz w:val="26"/>
          <w:szCs w:val="26"/>
        </w:rPr>
        <w:t xml:space="preserve"> в разделе «Собственникам»)</w:t>
      </w:r>
      <w:r w:rsidRPr="00374C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226" w:rsidRDefault="00B10226" w:rsidP="00B10226">
      <w:pPr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C2A">
        <w:rPr>
          <w:rFonts w:ascii="Times New Roman" w:eastAsia="Times New Roman" w:hAnsi="Times New Roman" w:cs="Times New Roman"/>
          <w:sz w:val="26"/>
          <w:szCs w:val="26"/>
        </w:rPr>
        <w:t>В случае непринятия решения о проведении капитального ремонта общего имущества в МКД собственниками помещений, право принятия решения по проведению такого ремонта переходит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органу</w:t>
      </w:r>
      <w:r w:rsidRPr="00374C2A">
        <w:rPr>
          <w:rFonts w:ascii="Times New Roman" w:eastAsia="Times New Roman" w:hAnsi="Times New Roman" w:cs="Times New Roman"/>
          <w:sz w:val="26"/>
          <w:szCs w:val="26"/>
        </w:rPr>
        <w:t xml:space="preserve"> местно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374C2A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74C2A">
        <w:rPr>
          <w:rFonts w:ascii="Times New Roman" w:eastAsia="Times New Roman" w:hAnsi="Times New Roman" w:cs="Times New Roman"/>
          <w:sz w:val="26"/>
          <w:szCs w:val="26"/>
        </w:rPr>
        <w:t>. 6 ст. 189 Жилищного кодекса РФ.</w:t>
      </w:r>
    </w:p>
    <w:p w:rsidR="00B10226" w:rsidRPr="00374C2A" w:rsidRDefault="00B10226" w:rsidP="00B10226">
      <w:pPr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168 Жилищного кодекса РФ собственники помещений МКД могут принять решение о переносе установленного срока капитального ремонта общего имущества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B10226" w:rsidRPr="009F7AEB" w:rsidRDefault="00B10226" w:rsidP="00B10226">
      <w:pPr>
        <w:autoSpaceDE w:val="0"/>
        <w:autoSpaceDN w:val="0"/>
        <w:adjustRightInd w:val="0"/>
        <w:spacing w:after="0"/>
        <w:ind w:left="-426" w:right="56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2A">
        <w:rPr>
          <w:rFonts w:ascii="Times New Roman" w:hAnsi="Times New Roman"/>
          <w:b/>
          <w:sz w:val="26"/>
          <w:szCs w:val="26"/>
        </w:rPr>
        <w:t xml:space="preserve">Условия выполнения работ: </w:t>
      </w:r>
      <w:r w:rsidRPr="009F7A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обязаны при проведении капитального ремонта обеспечить свободный доступ работникам подрядной организации к общему имуществу многоквартирного дома в соответствии с частью 2 статьи 1, частью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статьи 30, частью 3 статьи 39 Жилищного кодекса Р</w:t>
      </w:r>
      <w:r w:rsidRPr="009F7A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ссийской федерации и пункта 10 </w:t>
      </w:r>
      <w:r w:rsidRPr="009F7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содержания общего имущества в многоквартирном доме, утвержденных Постановлением Правительства Российской Федерации от 13.08.2006 № 491. При неисполнении указанной обязанности собственниками региональный оператор не несет ответственность за неисполнение обязанности по проведению капитального ремонта многоквартирного дома в срок.</w:t>
      </w:r>
    </w:p>
    <w:p w:rsidR="00B10226" w:rsidRPr="00374C2A" w:rsidRDefault="00B10226" w:rsidP="00B10226">
      <w:pPr>
        <w:autoSpaceDE w:val="0"/>
        <w:autoSpaceDN w:val="0"/>
        <w:adjustRightInd w:val="0"/>
        <w:spacing w:after="0"/>
        <w:ind w:left="-426" w:right="566" w:firstLine="568"/>
        <w:jc w:val="both"/>
        <w:rPr>
          <w:rFonts w:ascii="Times New Roman" w:hAnsi="Times New Roman"/>
          <w:sz w:val="26"/>
          <w:szCs w:val="26"/>
        </w:rPr>
      </w:pPr>
      <w:r w:rsidRPr="00374C2A">
        <w:rPr>
          <w:rFonts w:ascii="Times New Roman" w:hAnsi="Times New Roman"/>
          <w:sz w:val="26"/>
          <w:szCs w:val="26"/>
        </w:rPr>
        <w:t>Возможно изменение информации данного предложения после актуализации региональной программы проведени</w:t>
      </w:r>
      <w:r>
        <w:rPr>
          <w:rFonts w:ascii="Times New Roman" w:hAnsi="Times New Roman"/>
          <w:sz w:val="26"/>
          <w:szCs w:val="26"/>
        </w:rPr>
        <w:t>я</w:t>
      </w:r>
      <w:r w:rsidRPr="00374C2A">
        <w:rPr>
          <w:rFonts w:ascii="Times New Roman" w:hAnsi="Times New Roman"/>
          <w:sz w:val="26"/>
          <w:szCs w:val="26"/>
        </w:rPr>
        <w:t xml:space="preserve"> капитального ремонта</w:t>
      </w:r>
      <w:r>
        <w:rPr>
          <w:rFonts w:ascii="Times New Roman" w:hAnsi="Times New Roman"/>
          <w:sz w:val="26"/>
          <w:szCs w:val="26"/>
        </w:rPr>
        <w:t xml:space="preserve"> общего имущества в многоквартирных домах, расположенных на территории</w:t>
      </w:r>
      <w:r w:rsidRPr="00374C2A">
        <w:rPr>
          <w:rFonts w:ascii="Times New Roman" w:hAnsi="Times New Roman"/>
          <w:sz w:val="26"/>
          <w:szCs w:val="26"/>
        </w:rPr>
        <w:t xml:space="preserve"> Еврейской автономной области</w:t>
      </w:r>
      <w:r>
        <w:rPr>
          <w:rFonts w:ascii="Times New Roman" w:hAnsi="Times New Roman"/>
          <w:sz w:val="26"/>
          <w:szCs w:val="26"/>
        </w:rPr>
        <w:t>,</w:t>
      </w:r>
      <w:r w:rsidRPr="00374C2A">
        <w:rPr>
          <w:rFonts w:ascii="Times New Roman" w:hAnsi="Times New Roman"/>
          <w:sz w:val="26"/>
          <w:szCs w:val="26"/>
        </w:rPr>
        <w:t xml:space="preserve"> на 2014-2043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374C2A">
        <w:rPr>
          <w:rFonts w:ascii="Times New Roman" w:hAnsi="Times New Roman"/>
          <w:sz w:val="26"/>
          <w:szCs w:val="26"/>
        </w:rPr>
        <w:t xml:space="preserve">. </w:t>
      </w:r>
    </w:p>
    <w:p w:rsidR="00F175F9" w:rsidRPr="00374C2A" w:rsidRDefault="00F175F9" w:rsidP="00976678">
      <w:pPr>
        <w:tabs>
          <w:tab w:val="left" w:pos="-142"/>
        </w:tabs>
        <w:spacing w:after="0" w:line="360" w:lineRule="auto"/>
        <w:ind w:left="-426" w:right="56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175F9" w:rsidRDefault="00F175F9" w:rsidP="00976678">
      <w:pPr>
        <w:tabs>
          <w:tab w:val="left" w:pos="-142"/>
        </w:tabs>
        <w:spacing w:after="0" w:line="360" w:lineRule="auto"/>
        <w:ind w:left="-426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175F9" w:rsidRDefault="00F175F9" w:rsidP="00976678">
      <w:pPr>
        <w:tabs>
          <w:tab w:val="left" w:pos="-142"/>
        </w:tabs>
        <w:spacing w:after="0" w:line="360" w:lineRule="auto"/>
        <w:ind w:left="-426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175F9" w:rsidRPr="008758E3" w:rsidRDefault="00D56072" w:rsidP="00AD3D9C">
      <w:pPr>
        <w:tabs>
          <w:tab w:val="left" w:pos="0"/>
        </w:tabs>
        <w:spacing w:line="240" w:lineRule="auto"/>
        <w:ind w:left="-426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                   А.В. Войтенко</w:t>
      </w:r>
    </w:p>
    <w:p w:rsidR="00F175F9" w:rsidRDefault="00F175F9" w:rsidP="00F175F9"/>
    <w:p w:rsidR="00546229" w:rsidRDefault="00546229" w:rsidP="00F175F9">
      <w:pPr>
        <w:spacing w:after="0" w:line="360" w:lineRule="auto"/>
        <w:ind w:left="709"/>
        <w:jc w:val="center"/>
      </w:pPr>
    </w:p>
    <w:sectPr w:rsidR="00546229" w:rsidSect="0061675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2410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80" w:rsidRDefault="00025380" w:rsidP="003F1927">
      <w:pPr>
        <w:spacing w:after="0" w:line="240" w:lineRule="auto"/>
      </w:pPr>
      <w:r>
        <w:separator/>
      </w:r>
    </w:p>
  </w:endnote>
  <w:endnote w:type="continuationSeparator" w:id="0">
    <w:p w:rsidR="00025380" w:rsidRDefault="00025380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 wp14:anchorId="75099969" wp14:editId="0C4F425D">
          <wp:extent cx="5998117" cy="196499"/>
          <wp:effectExtent l="0" t="0" r="0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C12117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C7B2A" w:rsidRDefault="004E4C95" w:rsidP="004E4C95">
    <w:pPr>
      <w:pStyle w:val="a5"/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5998117" cy="196499"/>
          <wp:effectExtent l="0" t="0" r="0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 w:rsidR="002D6DAB"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3F1927" w:rsidRPr="003A6BD5" w:rsidRDefault="00FD30A2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80" w:rsidRDefault="00025380" w:rsidP="003F1927">
      <w:pPr>
        <w:spacing w:after="0" w:line="240" w:lineRule="auto"/>
      </w:pPr>
      <w:r>
        <w:separator/>
      </w:r>
    </w:p>
  </w:footnote>
  <w:footnote w:type="continuationSeparator" w:id="0">
    <w:p w:rsidR="00025380" w:rsidRDefault="00025380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46" name="Рисунок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47" name="Рисунок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7742DD" w:rsidRDefault="007742DD" w:rsidP="00DF7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7E7B"/>
    <w:rsid w:val="00025380"/>
    <w:rsid w:val="000919C5"/>
    <w:rsid w:val="002433BE"/>
    <w:rsid w:val="00294C94"/>
    <w:rsid w:val="002C7B2A"/>
    <w:rsid w:val="002D4BC0"/>
    <w:rsid w:val="002D6DAB"/>
    <w:rsid w:val="002F4A36"/>
    <w:rsid w:val="00300CF6"/>
    <w:rsid w:val="00306EEB"/>
    <w:rsid w:val="0039486A"/>
    <w:rsid w:val="003A6BD5"/>
    <w:rsid w:val="003A7AA7"/>
    <w:rsid w:val="003F1927"/>
    <w:rsid w:val="003F6D8D"/>
    <w:rsid w:val="004319C9"/>
    <w:rsid w:val="004E4C95"/>
    <w:rsid w:val="00521196"/>
    <w:rsid w:val="00546229"/>
    <w:rsid w:val="005B705B"/>
    <w:rsid w:val="005E3EA5"/>
    <w:rsid w:val="005E58D9"/>
    <w:rsid w:val="00616750"/>
    <w:rsid w:val="006C64E9"/>
    <w:rsid w:val="006D7192"/>
    <w:rsid w:val="007742DD"/>
    <w:rsid w:val="0079326D"/>
    <w:rsid w:val="00834A5D"/>
    <w:rsid w:val="008411E8"/>
    <w:rsid w:val="0087210D"/>
    <w:rsid w:val="008767AD"/>
    <w:rsid w:val="008C4147"/>
    <w:rsid w:val="00976678"/>
    <w:rsid w:val="009E71CA"/>
    <w:rsid w:val="009F144E"/>
    <w:rsid w:val="00A42A24"/>
    <w:rsid w:val="00AD3D9C"/>
    <w:rsid w:val="00AD74AC"/>
    <w:rsid w:val="00AF29DC"/>
    <w:rsid w:val="00B10226"/>
    <w:rsid w:val="00B53BA9"/>
    <w:rsid w:val="00B81936"/>
    <w:rsid w:val="00B94116"/>
    <w:rsid w:val="00C12117"/>
    <w:rsid w:val="00C22C00"/>
    <w:rsid w:val="00C4546A"/>
    <w:rsid w:val="00C703D5"/>
    <w:rsid w:val="00C91FB1"/>
    <w:rsid w:val="00CC295C"/>
    <w:rsid w:val="00D56072"/>
    <w:rsid w:val="00DF6D02"/>
    <w:rsid w:val="00DF7BD7"/>
    <w:rsid w:val="00E417D1"/>
    <w:rsid w:val="00E570F6"/>
    <w:rsid w:val="00E7787D"/>
    <w:rsid w:val="00EB0E18"/>
    <w:rsid w:val="00EC410C"/>
    <w:rsid w:val="00F175F9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User</cp:lastModifiedBy>
  <cp:revision>2</cp:revision>
  <cp:lastPrinted>2016-03-18T01:47:00Z</cp:lastPrinted>
  <dcterms:created xsi:type="dcterms:W3CDTF">2017-08-24T04:44:00Z</dcterms:created>
  <dcterms:modified xsi:type="dcterms:W3CDTF">2017-08-24T04:44:00Z</dcterms:modified>
</cp:coreProperties>
</file>